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3A10" w14:textId="77777777" w:rsidR="009F28D8" w:rsidRDefault="00000000">
      <w:pPr>
        <w:spacing w:after="60"/>
        <w:jc w:val="center"/>
      </w:pPr>
      <w:r>
        <w:rPr>
          <w:b/>
          <w:bCs/>
          <w:color w:val="1F2E5C"/>
          <w:sz w:val="40"/>
          <w:szCs w:val="40"/>
        </w:rPr>
        <w:t>CORPORATION FORMATION PACKAGE</w:t>
      </w:r>
    </w:p>
    <w:p w14:paraId="54C93FF8" w14:textId="77777777" w:rsidR="009F28D8" w:rsidRDefault="00000000">
      <w:pPr>
        <w:spacing w:after="120"/>
        <w:jc w:val="center"/>
      </w:pPr>
      <w:r>
        <w:rPr>
          <w:i/>
          <w:iCs/>
          <w:color w:val="555555"/>
        </w:rPr>
        <w:t>Turnkey Entity Formation for California Healthcare Practices</w:t>
      </w:r>
    </w:p>
    <w:p w14:paraId="47A7E3DC" w14:textId="77777777" w:rsidR="009F28D8" w:rsidRDefault="009F28D8">
      <w:pPr>
        <w:pBdr>
          <w:bottom w:val="single" w:sz="8" w:space="1" w:color="B08D3C"/>
        </w:pBd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F28D8" w14:paraId="5BEF82B0" w14:textId="77777777">
        <w:tblPrEx>
          <w:tblCellMar>
            <w:top w:w="0" w:type="dxa"/>
            <w:bottom w:w="0" w:type="dxa"/>
          </w:tblCellMar>
        </w:tblPrEx>
        <w:tc>
          <w:tcPr>
            <w:tcW w:w="9360" w:type="dxa"/>
            <w:tcBorders>
              <w:top w:val="single" w:sz="8" w:space="0" w:color="1F2E5C"/>
              <w:left w:val="single" w:sz="8" w:space="0" w:color="1F2E5C"/>
              <w:bottom w:val="single" w:sz="8" w:space="0" w:color="1F2E5C"/>
              <w:right w:val="single" w:sz="8" w:space="0" w:color="1F2E5C"/>
            </w:tcBorders>
            <w:shd w:val="clear" w:color="auto" w:fill="E8ECF4"/>
            <w:tcMar>
              <w:top w:w="200" w:type="dxa"/>
              <w:left w:w="200" w:type="dxa"/>
              <w:bottom w:w="200" w:type="dxa"/>
              <w:right w:w="200" w:type="dxa"/>
            </w:tcMar>
          </w:tcPr>
          <w:p w14:paraId="0EDD55CD" w14:textId="77777777" w:rsidR="009F28D8" w:rsidRDefault="00000000">
            <w:pPr>
              <w:spacing w:before="60" w:after="60"/>
              <w:jc w:val="center"/>
            </w:pPr>
            <w:r>
              <w:rPr>
                <w:b/>
                <w:bCs/>
                <w:color w:val="1F2E5C"/>
                <w:sz w:val="24"/>
                <w:szCs w:val="24"/>
              </w:rPr>
              <w:t>FLAT FEE — STARTING AT</w:t>
            </w:r>
          </w:p>
          <w:p w14:paraId="5C315C02" w14:textId="77777777" w:rsidR="009F28D8" w:rsidRDefault="00000000">
            <w:pPr>
              <w:spacing w:after="40"/>
              <w:jc w:val="center"/>
            </w:pPr>
            <w:r>
              <w:rPr>
                <w:b/>
                <w:bCs/>
                <w:color w:val="B08D3C"/>
                <w:sz w:val="44"/>
                <w:szCs w:val="44"/>
              </w:rPr>
              <w:t>$1,995</w:t>
            </w:r>
          </w:p>
          <w:p w14:paraId="6CA39DF4" w14:textId="375D9740" w:rsidR="009F28D8" w:rsidRDefault="00000000">
            <w:pPr>
              <w:spacing w:after="60"/>
              <w:jc w:val="center"/>
            </w:pPr>
            <w:proofErr w:type="gramStart"/>
            <w:r>
              <w:rPr>
                <w:i/>
                <w:iCs/>
                <w:color w:val="555555"/>
                <w:sz w:val="20"/>
                <w:szCs w:val="20"/>
              </w:rPr>
              <w:t>Plus</w:t>
            </w:r>
            <w:proofErr w:type="gramEnd"/>
            <w:r>
              <w:rPr>
                <w:i/>
                <w:iCs/>
                <w:color w:val="555555"/>
                <w:sz w:val="20"/>
                <w:szCs w:val="20"/>
              </w:rPr>
              <w:t xml:space="preserve"> government filing fees (estimated at $13</w:t>
            </w:r>
            <w:r w:rsidR="00D562D4">
              <w:rPr>
                <w:i/>
                <w:iCs/>
                <w:color w:val="555555"/>
                <w:sz w:val="20"/>
                <w:szCs w:val="20"/>
              </w:rPr>
              <w:t>5</w:t>
            </w:r>
            <w:r>
              <w:rPr>
                <w:i/>
                <w:iCs/>
                <w:color w:val="555555"/>
                <w:sz w:val="20"/>
                <w:szCs w:val="20"/>
              </w:rPr>
              <w:t>)</w:t>
            </w:r>
          </w:p>
        </w:tc>
      </w:tr>
    </w:tbl>
    <w:p w14:paraId="0E758D1B" w14:textId="77777777" w:rsidR="009F28D8" w:rsidRDefault="009F28D8">
      <w:pPr>
        <w:spacing w:before="200"/>
      </w:pPr>
    </w:p>
    <w:p w14:paraId="4EB2FF41" w14:textId="77777777" w:rsidR="009F28D8" w:rsidRDefault="00000000">
      <w:pPr>
        <w:spacing w:before="60" w:after="120" w:line="320" w:lineRule="auto"/>
      </w:pPr>
      <w:r>
        <w:t>Designed for California physicians, dentists, and licensed healthcare professionals forming a professional corporation or other entity for their practice. We handle the formation paperwork from start to finish so you can focus on building your practice — with a predictable flat fee and a complete corporate record from day one.</w:t>
      </w:r>
    </w:p>
    <w:p w14:paraId="43F72E2A" w14:textId="77777777" w:rsidR="009F28D8" w:rsidRDefault="00000000">
      <w:pPr>
        <w:pStyle w:val="Heading1"/>
      </w:pPr>
      <w:r>
        <w:t>What's Included</w:t>
      </w:r>
    </w:p>
    <w:p w14:paraId="7CB2DB05" w14:textId="77777777" w:rsidR="009F28D8" w:rsidRDefault="00000000">
      <w:pPr>
        <w:spacing w:before="60" w:after="100" w:line="300" w:lineRule="auto"/>
      </w:pPr>
      <w:r>
        <w:rPr>
          <w:i/>
          <w:iCs/>
          <w:color w:val="555555"/>
        </w:rPr>
        <w:t>The Corporation Formation Package includes preparation, filing, and delivery of all foundational corporate documents and records required to properly form and document your California entity.</w:t>
      </w:r>
    </w:p>
    <w:p w14:paraId="74893FE1" w14:textId="77777777" w:rsidR="009F28D8" w:rsidRDefault="00000000">
      <w:pPr>
        <w:pStyle w:val="ListParagraph"/>
        <w:numPr>
          <w:ilvl w:val="0"/>
          <w:numId w:val="2"/>
        </w:numPr>
        <w:spacing w:before="40" w:after="40" w:line="280" w:lineRule="auto"/>
      </w:pPr>
      <w:r>
        <w:rPr>
          <w:b/>
          <w:bCs/>
          <w:color w:val="1F2E5C"/>
        </w:rPr>
        <w:t xml:space="preserve">Articles of Incorporation — </w:t>
      </w:r>
      <w:r>
        <w:t>drafted and filed with the California Secretary of State to officially establish your corporation.</w:t>
      </w:r>
    </w:p>
    <w:p w14:paraId="50649EB0" w14:textId="77777777" w:rsidR="009F28D8" w:rsidRDefault="00000000">
      <w:pPr>
        <w:pStyle w:val="ListParagraph"/>
        <w:numPr>
          <w:ilvl w:val="0"/>
          <w:numId w:val="2"/>
        </w:numPr>
        <w:spacing w:before="40" w:after="40" w:line="280" w:lineRule="auto"/>
      </w:pPr>
      <w:r>
        <w:rPr>
          <w:b/>
          <w:bCs/>
          <w:color w:val="1F2E5C"/>
        </w:rPr>
        <w:t xml:space="preserve">Statement of Information — </w:t>
      </w:r>
      <w:r>
        <w:t>initial filing with the California Secretary of State identifying officers, directors, and the agent for service of process.</w:t>
      </w:r>
    </w:p>
    <w:p w14:paraId="3F289AD5" w14:textId="77777777" w:rsidR="009F28D8" w:rsidRDefault="00000000">
      <w:pPr>
        <w:pStyle w:val="ListParagraph"/>
        <w:numPr>
          <w:ilvl w:val="0"/>
          <w:numId w:val="2"/>
        </w:numPr>
        <w:spacing w:before="40" w:after="40" w:line="280" w:lineRule="auto"/>
      </w:pPr>
      <w:r>
        <w:rPr>
          <w:b/>
          <w:bCs/>
          <w:color w:val="1F2E5C"/>
        </w:rPr>
        <w:t xml:space="preserve">Bylaws — </w:t>
      </w:r>
      <w:r>
        <w:t>customized corporate bylaws governing how your corporation will operate, including officer roles, meeting requirements, and decision-making procedures.</w:t>
      </w:r>
    </w:p>
    <w:p w14:paraId="13C8AF81" w14:textId="77777777" w:rsidR="009F28D8" w:rsidRDefault="00000000">
      <w:pPr>
        <w:pStyle w:val="ListParagraph"/>
        <w:numPr>
          <w:ilvl w:val="0"/>
          <w:numId w:val="2"/>
        </w:numPr>
        <w:spacing w:before="40" w:after="40" w:line="280" w:lineRule="auto"/>
      </w:pPr>
      <w:r>
        <w:rPr>
          <w:b/>
          <w:bCs/>
          <w:color w:val="1F2E5C"/>
        </w:rPr>
        <w:t xml:space="preserve">Application for Tax Identification Number (IRS Form SS-4) — </w:t>
      </w:r>
      <w:r>
        <w:t>preparation and filing of your federal Employer Identification Number (EIN) application with the IRS.</w:t>
      </w:r>
    </w:p>
    <w:p w14:paraId="15019E57" w14:textId="77777777" w:rsidR="009F28D8" w:rsidRDefault="00000000">
      <w:pPr>
        <w:pStyle w:val="ListParagraph"/>
        <w:numPr>
          <w:ilvl w:val="0"/>
          <w:numId w:val="2"/>
        </w:numPr>
        <w:spacing w:before="40" w:after="40" w:line="280" w:lineRule="auto"/>
      </w:pPr>
      <w:r>
        <w:rPr>
          <w:b/>
          <w:bCs/>
          <w:color w:val="1F2E5C"/>
        </w:rPr>
        <w:t xml:space="preserve">Corporation Records Kit — </w:t>
      </w:r>
      <w:r>
        <w:t>professional binder, corporate seal, and issuance of initial stock certificates and stock ledger.</w:t>
      </w:r>
    </w:p>
    <w:p w14:paraId="7A24251A" w14:textId="77777777" w:rsidR="009F28D8" w:rsidRDefault="00000000">
      <w:pPr>
        <w:pStyle w:val="ListParagraph"/>
        <w:numPr>
          <w:ilvl w:val="0"/>
          <w:numId w:val="2"/>
        </w:numPr>
        <w:spacing w:before="40" w:after="40" w:line="280" w:lineRule="auto"/>
      </w:pPr>
      <w:r>
        <w:rPr>
          <w:b/>
          <w:bCs/>
          <w:color w:val="1F2E5C"/>
        </w:rPr>
        <w:t xml:space="preserve">Completed Incorporator's Statement — </w:t>
      </w:r>
      <w:r>
        <w:t>executed statement appointing the initial directors and formally transitioning the corporation from incorporator to its board.</w:t>
      </w:r>
    </w:p>
    <w:p w14:paraId="57B04ACF" w14:textId="77777777" w:rsidR="009F28D8" w:rsidRDefault="00000000">
      <w:pPr>
        <w:pStyle w:val="Heading1"/>
      </w:pPr>
      <w:r>
        <w:t>Why This Matters</w:t>
      </w:r>
    </w:p>
    <w:p w14:paraId="2132C47D" w14:textId="73CED5EE" w:rsidR="009F28D8" w:rsidRDefault="00000000">
      <w:pPr>
        <w:spacing w:before="60" w:after="120" w:line="320" w:lineRule="auto"/>
      </w:pPr>
      <w:r>
        <w:t>In California, healthcare professionals generally cannot operate through a standard business corporation — they are required to form a professional corporation that complies with the Moscone-Knox Professional Corporation Act and the specific rules of their licensing board. Getting the foundational paperwork right at the outset protects your personal assets, supports compliance with the corporate practice of medicine doctrine, and avoids costly cleanup work later. Our package ensures that every formation document is prepared correctly the first time and that you leave with a complete, audit-ready corporate record</w:t>
      </w:r>
      <w:r w:rsidR="00D562D4">
        <w:t xml:space="preserve"> with bylaws customized to your healthcare practice.</w:t>
      </w:r>
    </w:p>
    <w:p w14:paraId="33A8A85B" w14:textId="77777777" w:rsidR="009F28D8" w:rsidRDefault="009F28D8">
      <w:pPr>
        <w:spacing w:before="280"/>
      </w:pPr>
    </w:p>
    <w:p w14:paraId="684F86B2" w14:textId="77777777" w:rsidR="009F28D8" w:rsidRDefault="009F28D8">
      <w:pPr>
        <w:pBdr>
          <w:bottom w:val="single" w:sz="8" w:space="1" w:color="1F2E5C"/>
        </w:pBdr>
        <w:spacing w:before="60" w:after="60"/>
      </w:pPr>
    </w:p>
    <w:p w14:paraId="4DEF3A1F" w14:textId="77777777" w:rsidR="009F28D8" w:rsidRDefault="00000000">
      <w:pPr>
        <w:pStyle w:val="Heading1"/>
      </w:pPr>
      <w:r>
        <w:t>Optional Add-On Services</w:t>
      </w:r>
    </w:p>
    <w:p w14:paraId="6D95A0D5" w14:textId="77777777" w:rsidR="009F28D8" w:rsidRDefault="00000000">
      <w:pPr>
        <w:spacing w:before="200" w:after="60"/>
      </w:pPr>
      <w:r>
        <w:rPr>
          <w:b/>
          <w:bCs/>
          <w:color w:val="B08D3C"/>
          <w:sz w:val="26"/>
          <w:szCs w:val="26"/>
        </w:rPr>
        <w:t xml:space="preserve">A. </w:t>
      </w:r>
      <w:r>
        <w:rPr>
          <w:b/>
          <w:bCs/>
          <w:color w:val="1F2E5C"/>
          <w:sz w:val="26"/>
          <w:szCs w:val="26"/>
        </w:rPr>
        <w:t>Fictitious Business Name Permit (DBA) Through the Relevant Licensing Board</w:t>
      </w:r>
      <w:r>
        <w:rPr>
          <w:b/>
          <w:bCs/>
          <w:color w:val="555555"/>
        </w:rPr>
        <w:t xml:space="preserve">   —   Flat Fee Add-On: $500</w:t>
      </w:r>
    </w:p>
    <w:p w14:paraId="204808F6" w14:textId="77777777" w:rsidR="009F28D8" w:rsidRDefault="00000000">
      <w:pPr>
        <w:spacing w:before="60" w:after="60" w:line="300" w:lineRule="auto"/>
      </w:pPr>
      <w:r>
        <w:rPr>
          <w:i/>
          <w:iCs/>
          <w:color w:val="555555"/>
        </w:rPr>
        <w:t>(</w:t>
      </w:r>
      <w:proofErr w:type="gramStart"/>
      <w:r>
        <w:rPr>
          <w:i/>
          <w:iCs/>
          <w:color w:val="555555"/>
        </w:rPr>
        <w:t>Plus</w:t>
      </w:r>
      <w:proofErr w:type="gramEnd"/>
      <w:r>
        <w:rPr>
          <w:i/>
          <w:iCs/>
          <w:color w:val="555555"/>
        </w:rPr>
        <w:t xml:space="preserve"> exact filing fees)</w:t>
      </w:r>
    </w:p>
    <w:p w14:paraId="068C8955" w14:textId="77777777" w:rsidR="009F28D8" w:rsidRDefault="00000000">
      <w:pPr>
        <w:spacing w:before="60" w:after="60" w:line="300" w:lineRule="auto"/>
      </w:pPr>
      <w:r>
        <w:t>For California healthcare professional corporations that wish to operate under a name different from their formal corporate name. Because professional corporations are regulated by their licensing board (such as the Medical Board of California or the Dental Board of California), a fictitious business name typically requires both board approval and the appropriate filing. We handle the application, board submission, and follow-through so your DBA is properly authorized and on file.</w:t>
      </w:r>
    </w:p>
    <w:p w14:paraId="587D2BB0" w14:textId="77777777" w:rsidR="009F28D8" w:rsidRDefault="00000000">
      <w:pPr>
        <w:spacing w:before="200" w:after="60"/>
      </w:pPr>
      <w:r>
        <w:rPr>
          <w:b/>
          <w:bCs/>
          <w:color w:val="B08D3C"/>
          <w:sz w:val="26"/>
          <w:szCs w:val="26"/>
        </w:rPr>
        <w:t xml:space="preserve">B. </w:t>
      </w:r>
      <w:r>
        <w:rPr>
          <w:b/>
          <w:bCs/>
          <w:color w:val="1F2E5C"/>
          <w:sz w:val="26"/>
          <w:szCs w:val="26"/>
        </w:rPr>
        <w:t>S-Corporation Election with the IRS (Form 2553)</w:t>
      </w:r>
      <w:r>
        <w:rPr>
          <w:b/>
          <w:bCs/>
          <w:color w:val="555555"/>
        </w:rPr>
        <w:t xml:space="preserve">   —   Flat Fee Add-On: $500</w:t>
      </w:r>
    </w:p>
    <w:p w14:paraId="5501E66A" w14:textId="77777777" w:rsidR="009F28D8" w:rsidRDefault="00000000">
      <w:pPr>
        <w:spacing w:before="60" w:after="60" w:line="300" w:lineRule="auto"/>
      </w:pPr>
      <w:r>
        <w:t>Preparation and filing of IRS Form 2553 to elect S-Corporation tax treatment for your professional corporation. Recommended for many California professional corporations and often results in significant tax savings — we strongly recommend coordinating with your CPA on this election.</w:t>
      </w:r>
    </w:p>
    <w:p w14:paraId="44F1446D" w14:textId="77777777" w:rsidR="009F28D8" w:rsidRDefault="00000000">
      <w:pPr>
        <w:spacing w:before="200" w:after="60"/>
      </w:pPr>
      <w:r>
        <w:rPr>
          <w:b/>
          <w:bCs/>
          <w:color w:val="B08D3C"/>
          <w:sz w:val="26"/>
          <w:szCs w:val="26"/>
        </w:rPr>
        <w:t xml:space="preserve">C. </w:t>
      </w:r>
      <w:r>
        <w:rPr>
          <w:b/>
          <w:bCs/>
          <w:color w:val="1F2E5C"/>
          <w:sz w:val="26"/>
          <w:szCs w:val="26"/>
        </w:rPr>
        <w:t>Local Business Permit / Business License Application</w:t>
      </w:r>
      <w:r>
        <w:rPr>
          <w:b/>
          <w:bCs/>
          <w:color w:val="555555"/>
        </w:rPr>
        <w:t xml:space="preserve">   —   Flat Fee Add-On: $500</w:t>
      </w:r>
    </w:p>
    <w:p w14:paraId="76DAF438" w14:textId="77777777" w:rsidR="009F28D8" w:rsidRDefault="00000000">
      <w:pPr>
        <w:spacing w:before="60" w:after="60" w:line="300" w:lineRule="auto"/>
      </w:pPr>
      <w:r>
        <w:rPr>
          <w:i/>
          <w:iCs/>
          <w:color w:val="555555"/>
        </w:rPr>
        <w:t>(</w:t>
      </w:r>
      <w:proofErr w:type="gramStart"/>
      <w:r>
        <w:rPr>
          <w:i/>
          <w:iCs/>
          <w:color w:val="555555"/>
        </w:rPr>
        <w:t>Plus</w:t>
      </w:r>
      <w:proofErr w:type="gramEnd"/>
      <w:r>
        <w:rPr>
          <w:i/>
          <w:iCs/>
          <w:color w:val="555555"/>
        </w:rPr>
        <w:t xml:space="preserve"> exact municipal or county filing fees)</w:t>
      </w:r>
    </w:p>
    <w:p w14:paraId="48D7F464" w14:textId="77777777" w:rsidR="009F28D8" w:rsidRDefault="00000000">
      <w:pPr>
        <w:spacing w:before="60" w:after="60" w:line="300" w:lineRule="auto"/>
      </w:pPr>
      <w:r>
        <w:t>Most California cities and counties require a local business license or permit to lawfully operate a practice within their jurisdiction. We will prepare and submit the applicable local business permit application on your behalf, coordinate with the issuing agency, and confirm the permit is on file.</w:t>
      </w:r>
    </w:p>
    <w:p w14:paraId="1FC77752" w14:textId="77777777" w:rsidR="009F28D8" w:rsidRDefault="009F28D8">
      <w:pPr>
        <w:spacing w:before="320"/>
      </w:pPr>
    </w:p>
    <w:p w14:paraId="42395A35" w14:textId="77777777" w:rsidR="009F28D8" w:rsidRDefault="009F28D8">
      <w:pPr>
        <w:pBdr>
          <w:bottom w:val="single" w:sz="8" w:space="1" w:color="B08D3C"/>
        </w:pBdr>
        <w:spacing w:before="60" w:after="60"/>
      </w:pPr>
    </w:p>
    <w:p w14:paraId="2D467FCB" w14:textId="77777777" w:rsidR="009F28D8" w:rsidRDefault="00000000">
      <w:pPr>
        <w:spacing w:before="100" w:after="60"/>
      </w:pPr>
      <w:r>
        <w:rPr>
          <w:b/>
          <w:bCs/>
          <w:color w:val="1F2E5C"/>
          <w:sz w:val="24"/>
          <w:szCs w:val="24"/>
        </w:rPr>
        <w:t>Important Notes</w:t>
      </w:r>
    </w:p>
    <w:p w14:paraId="04A14EBD" w14:textId="55409495" w:rsidR="009F28D8" w:rsidRDefault="00000000">
      <w:pPr>
        <w:spacing w:before="60" w:after="60" w:line="320" w:lineRule="auto"/>
      </w:pPr>
      <w:r>
        <w:rPr>
          <w:i/>
          <w:iCs/>
        </w:rPr>
        <w:t>Pricing assumes a standard California professional corporation formation for a single licensed healthcare professional or a small group of co-owners with aligned interests. Government filing fees (estimated at $13</w:t>
      </w:r>
      <w:r w:rsidR="00D562D4">
        <w:rPr>
          <w:i/>
          <w:iCs/>
        </w:rPr>
        <w:t>5 for initial application and Statement of Information</w:t>
      </w:r>
      <w:r>
        <w:rPr>
          <w:i/>
          <w:iCs/>
        </w:rPr>
        <w:t>) are billed at exact cost and are the client's responsibility. The package does not include tax advice, securities or investor structuring, shareholder buy-sell agreements, multi-entity structuring (MSO/management company arrangements), or registered agent services beyond the initial filing — these are available as separate scopes of work.</w:t>
      </w:r>
    </w:p>
    <w:p w14:paraId="3B5660C8" w14:textId="77777777" w:rsidR="009F28D8" w:rsidRDefault="009F28D8">
      <w:pPr>
        <w:spacing w:before="160"/>
      </w:pPr>
    </w:p>
    <w:p w14:paraId="7BCBB45D" w14:textId="77777777" w:rsidR="009F28D8" w:rsidRDefault="00000000">
      <w:pPr>
        <w:spacing w:before="80" w:after="60"/>
        <w:jc w:val="center"/>
      </w:pPr>
      <w:r>
        <w:rPr>
          <w:b/>
          <w:bCs/>
          <w:i/>
          <w:iCs/>
          <w:color w:val="1F2E5C"/>
        </w:rPr>
        <w:t>Your corporation is the legal foundation of your practice — let's build it right from day one.</w:t>
      </w:r>
    </w:p>
    <w:sectPr w:rsidR="009F28D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24E3" w14:textId="77777777" w:rsidR="004D5193" w:rsidRDefault="004D5193">
      <w:r>
        <w:separator/>
      </w:r>
    </w:p>
  </w:endnote>
  <w:endnote w:type="continuationSeparator" w:id="0">
    <w:p w14:paraId="3A653A2E" w14:textId="77777777" w:rsidR="004D5193" w:rsidRDefault="004D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08CE" w14:textId="77777777" w:rsidR="009F28D8" w:rsidRDefault="00000000">
    <w:pPr>
      <w:pBdr>
        <w:top w:val="single" w:sz="4" w:space="4" w:color="B08D3C"/>
      </w:pBdr>
      <w:jc w:val="center"/>
    </w:pPr>
    <w:r>
      <w:rPr>
        <w:color w:val="555555"/>
        <w:sz w:val="16"/>
        <w:szCs w:val="16"/>
      </w:rPr>
      <w:t xml:space="preserve">West Coast Health Law </w:t>
    </w:r>
    <w:proofErr w:type="gramStart"/>
    <w:r>
      <w:rPr>
        <w:color w:val="555555"/>
        <w:sz w:val="16"/>
        <w:szCs w:val="16"/>
      </w:rPr>
      <w:t>Group  |</w:t>
    </w:r>
    <w:proofErr w:type="gramEnd"/>
    <w:r>
      <w:rPr>
        <w:color w:val="555555"/>
        <w:sz w:val="16"/>
        <w:szCs w:val="16"/>
      </w:rPr>
      <w:t xml:space="preserve">  Corporation Formation </w:t>
    </w:r>
    <w:proofErr w:type="gramStart"/>
    <w:r>
      <w:rPr>
        <w:color w:val="555555"/>
        <w:sz w:val="16"/>
        <w:szCs w:val="16"/>
      </w:rPr>
      <w:t>Package  |</w:t>
    </w:r>
    <w:proofErr w:type="gramEnd"/>
    <w:r>
      <w:rPr>
        <w:color w:val="555555"/>
        <w:sz w:val="16"/>
        <w:szCs w:val="16"/>
      </w:rPr>
      <w:t xml:space="preserve">  Page </w:t>
    </w:r>
    <w:r>
      <w:rPr>
        <w:color w:val="555555"/>
        <w:sz w:val="16"/>
        <w:szCs w:val="16"/>
      </w:rPr>
      <w:fldChar w:fldCharType="begin"/>
    </w:r>
    <w:r>
      <w:rPr>
        <w:color w:val="555555"/>
        <w:sz w:val="16"/>
        <w:szCs w:val="16"/>
      </w:rPr>
      <w:instrText>PAGE</w:instrText>
    </w:r>
    <w:r>
      <w:rPr>
        <w:color w:val="555555"/>
        <w:sz w:val="16"/>
        <w:szCs w:val="16"/>
      </w:rPr>
      <w:fldChar w:fldCharType="separate"/>
    </w:r>
    <w:r w:rsidR="00D562D4">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11EA" w14:textId="77777777" w:rsidR="004D5193" w:rsidRDefault="004D5193">
      <w:r>
        <w:separator/>
      </w:r>
    </w:p>
  </w:footnote>
  <w:footnote w:type="continuationSeparator" w:id="0">
    <w:p w14:paraId="4FE1FE1F" w14:textId="77777777" w:rsidR="004D5193" w:rsidRDefault="004D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A4E1" w14:textId="77777777" w:rsidR="009F28D8" w:rsidRDefault="00000000">
    <w:pPr>
      <w:spacing w:after="60"/>
      <w:jc w:val="right"/>
    </w:pPr>
    <w:r>
      <w:rPr>
        <w:b/>
        <w:bCs/>
        <w:color w:val="1F2E5C"/>
        <w:sz w:val="18"/>
        <w:szCs w:val="18"/>
      </w:rPr>
      <w:t>WEST COAST HEALTH LAW GROUP</w:t>
    </w:r>
  </w:p>
  <w:p w14:paraId="32D01A1D" w14:textId="15CB4F4E" w:rsidR="009F28D8" w:rsidRDefault="00D562D4">
    <w:pPr>
      <w:pBdr>
        <w:bottom w:val="single" w:sz="6" w:space="4" w:color="B08D3C"/>
      </w:pBdr>
      <w:jc w:val="right"/>
    </w:pPr>
    <w:r>
      <w:rPr>
        <w:i/>
        <w:iCs/>
        <w:color w:val="555555"/>
        <w:sz w:val="16"/>
        <w:szCs w:val="16"/>
      </w:rPr>
      <w:t>A Division of West Coast Counsel, 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475F"/>
    <w:multiLevelType w:val="hybridMultilevel"/>
    <w:tmpl w:val="85B8463A"/>
    <w:lvl w:ilvl="0" w:tplc="78A4CB0A">
      <w:start w:val="1"/>
      <w:numFmt w:val="bullet"/>
      <w:lvlText w:val="•"/>
      <w:lvlJc w:val="left"/>
      <w:pPr>
        <w:ind w:left="720" w:hanging="360"/>
      </w:pPr>
    </w:lvl>
    <w:lvl w:ilvl="1" w:tplc="DC36C0E6">
      <w:start w:val="1"/>
      <w:numFmt w:val="bullet"/>
      <w:lvlText w:val="◦"/>
      <w:lvlJc w:val="left"/>
      <w:pPr>
        <w:ind w:left="1440" w:hanging="360"/>
      </w:pPr>
    </w:lvl>
    <w:lvl w:ilvl="2" w:tplc="EB6088D0">
      <w:numFmt w:val="decimal"/>
      <w:lvlText w:val=""/>
      <w:lvlJc w:val="left"/>
    </w:lvl>
    <w:lvl w:ilvl="3" w:tplc="20F82A22">
      <w:numFmt w:val="decimal"/>
      <w:lvlText w:val=""/>
      <w:lvlJc w:val="left"/>
    </w:lvl>
    <w:lvl w:ilvl="4" w:tplc="D728D638">
      <w:numFmt w:val="decimal"/>
      <w:lvlText w:val=""/>
      <w:lvlJc w:val="left"/>
    </w:lvl>
    <w:lvl w:ilvl="5" w:tplc="BE4AB0FE">
      <w:numFmt w:val="decimal"/>
      <w:lvlText w:val=""/>
      <w:lvlJc w:val="left"/>
    </w:lvl>
    <w:lvl w:ilvl="6" w:tplc="9064CA40">
      <w:numFmt w:val="decimal"/>
      <w:lvlText w:val=""/>
      <w:lvlJc w:val="left"/>
    </w:lvl>
    <w:lvl w:ilvl="7" w:tplc="788C0D56">
      <w:numFmt w:val="decimal"/>
      <w:lvlText w:val=""/>
      <w:lvlJc w:val="left"/>
    </w:lvl>
    <w:lvl w:ilvl="8" w:tplc="138430AC">
      <w:numFmt w:val="decimal"/>
      <w:lvlText w:val=""/>
      <w:lvlJc w:val="left"/>
    </w:lvl>
  </w:abstractNum>
  <w:abstractNum w:abstractNumId="1" w15:restartNumberingAfterBreak="0">
    <w:nsid w:val="2FFA3449"/>
    <w:multiLevelType w:val="hybridMultilevel"/>
    <w:tmpl w:val="1192538C"/>
    <w:lvl w:ilvl="0" w:tplc="ABB01A0A">
      <w:start w:val="1"/>
      <w:numFmt w:val="bullet"/>
      <w:lvlText w:val="●"/>
      <w:lvlJc w:val="left"/>
      <w:pPr>
        <w:ind w:left="720" w:hanging="360"/>
      </w:pPr>
    </w:lvl>
    <w:lvl w:ilvl="1" w:tplc="5F466BEC">
      <w:start w:val="1"/>
      <w:numFmt w:val="bullet"/>
      <w:lvlText w:val="○"/>
      <w:lvlJc w:val="left"/>
      <w:pPr>
        <w:ind w:left="1440" w:hanging="360"/>
      </w:pPr>
    </w:lvl>
    <w:lvl w:ilvl="2" w:tplc="BAA4BF10">
      <w:start w:val="1"/>
      <w:numFmt w:val="bullet"/>
      <w:lvlText w:val="■"/>
      <w:lvlJc w:val="left"/>
      <w:pPr>
        <w:ind w:left="2160" w:hanging="360"/>
      </w:pPr>
    </w:lvl>
    <w:lvl w:ilvl="3" w:tplc="558A00E6">
      <w:start w:val="1"/>
      <w:numFmt w:val="bullet"/>
      <w:lvlText w:val="●"/>
      <w:lvlJc w:val="left"/>
      <w:pPr>
        <w:ind w:left="2880" w:hanging="360"/>
      </w:pPr>
    </w:lvl>
    <w:lvl w:ilvl="4" w:tplc="D8944CB8">
      <w:start w:val="1"/>
      <w:numFmt w:val="bullet"/>
      <w:lvlText w:val="○"/>
      <w:lvlJc w:val="left"/>
      <w:pPr>
        <w:ind w:left="3600" w:hanging="360"/>
      </w:pPr>
    </w:lvl>
    <w:lvl w:ilvl="5" w:tplc="7E54E5CA">
      <w:start w:val="1"/>
      <w:numFmt w:val="bullet"/>
      <w:lvlText w:val="■"/>
      <w:lvlJc w:val="left"/>
      <w:pPr>
        <w:ind w:left="4320" w:hanging="360"/>
      </w:pPr>
    </w:lvl>
    <w:lvl w:ilvl="6" w:tplc="1E4211E6">
      <w:start w:val="1"/>
      <w:numFmt w:val="bullet"/>
      <w:lvlText w:val="●"/>
      <w:lvlJc w:val="left"/>
      <w:pPr>
        <w:ind w:left="5040" w:hanging="360"/>
      </w:pPr>
    </w:lvl>
    <w:lvl w:ilvl="7" w:tplc="1772F33A">
      <w:start w:val="1"/>
      <w:numFmt w:val="bullet"/>
      <w:lvlText w:val="●"/>
      <w:lvlJc w:val="left"/>
      <w:pPr>
        <w:ind w:left="5760" w:hanging="360"/>
      </w:pPr>
    </w:lvl>
    <w:lvl w:ilvl="8" w:tplc="9154DFF8">
      <w:start w:val="1"/>
      <w:numFmt w:val="bullet"/>
      <w:lvlText w:val="●"/>
      <w:lvlJc w:val="left"/>
      <w:pPr>
        <w:ind w:left="6480" w:hanging="360"/>
      </w:pPr>
    </w:lvl>
  </w:abstractNum>
  <w:num w:numId="1" w16cid:durableId="619413193">
    <w:abstractNumId w:val="1"/>
    <w:lvlOverride w:ilvl="0">
      <w:startOverride w:val="1"/>
    </w:lvlOverride>
  </w:num>
  <w:num w:numId="2" w16cid:durableId="1256647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D8"/>
    <w:rsid w:val="002B7757"/>
    <w:rsid w:val="0049274F"/>
    <w:rsid w:val="004D5193"/>
    <w:rsid w:val="009F28D8"/>
    <w:rsid w:val="00D5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285F6"/>
  <w15:docId w15:val="{552A6452-2784-1248-A576-19A85A4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2E5C"/>
      <w:sz w:val="32"/>
      <w:szCs w:val="32"/>
    </w:rPr>
  </w:style>
  <w:style w:type="paragraph" w:styleId="Heading2">
    <w:name w:val="heading 2"/>
    <w:uiPriority w:val="9"/>
    <w:semiHidden/>
    <w:unhideWhenUsed/>
    <w:qFormat/>
    <w:pPr>
      <w:spacing w:before="220" w:after="80"/>
      <w:outlineLvl w:val="1"/>
    </w:pPr>
    <w:rPr>
      <w:b/>
      <w:bCs/>
      <w:color w:val="1F2E5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562D4"/>
    <w:pPr>
      <w:tabs>
        <w:tab w:val="center" w:pos="4680"/>
        <w:tab w:val="right" w:pos="9360"/>
      </w:tabs>
    </w:pPr>
  </w:style>
  <w:style w:type="character" w:customStyle="1" w:styleId="HeaderChar">
    <w:name w:val="Header Char"/>
    <w:basedOn w:val="DefaultParagraphFont"/>
    <w:link w:val="Header"/>
    <w:uiPriority w:val="99"/>
    <w:rsid w:val="00D562D4"/>
  </w:style>
  <w:style w:type="paragraph" w:styleId="Footer">
    <w:name w:val="footer"/>
    <w:basedOn w:val="Normal"/>
    <w:link w:val="FooterChar"/>
    <w:uiPriority w:val="99"/>
    <w:unhideWhenUsed/>
    <w:rsid w:val="00D562D4"/>
    <w:pPr>
      <w:tabs>
        <w:tab w:val="center" w:pos="4680"/>
        <w:tab w:val="right" w:pos="9360"/>
      </w:tabs>
    </w:pPr>
  </w:style>
  <w:style w:type="character" w:customStyle="1" w:styleId="FooterChar">
    <w:name w:val="Footer Char"/>
    <w:basedOn w:val="DefaultParagraphFont"/>
    <w:link w:val="Footer"/>
    <w:uiPriority w:val="99"/>
    <w:rsid w:val="00D5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3830</Characters>
  <Application>Microsoft Office Word</Application>
  <DocSecurity>0</DocSecurity>
  <Lines>67</Lines>
  <Paragraphs>33</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Formation Package</dc:title>
  <dc:creator>West Coast Health Law Group</dc:creator>
  <cp:lastModifiedBy>Heather Danesh</cp:lastModifiedBy>
  <cp:revision>2</cp:revision>
  <dcterms:created xsi:type="dcterms:W3CDTF">2026-05-12T21:57:00Z</dcterms:created>
  <dcterms:modified xsi:type="dcterms:W3CDTF">2026-05-12T21:57:00Z</dcterms:modified>
</cp:coreProperties>
</file>