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47CF" w14:textId="77777777" w:rsidR="00075938" w:rsidRDefault="00075938" w:rsidP="00075938">
      <w:pPr>
        <w:spacing w:after="60"/>
        <w:jc w:val="center"/>
        <w:rPr>
          <w:b/>
          <w:bCs/>
          <w:color w:val="1F2E5C"/>
          <w:sz w:val="40"/>
          <w:szCs w:val="40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4E9191A1" wp14:editId="49FBB0D0">
            <wp:extent cx="2150625" cy="1055648"/>
            <wp:effectExtent l="0" t="0" r="0" b="0"/>
            <wp:docPr id="1554114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7" cy="10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2E71A" w14:textId="77777777" w:rsidR="00626821" w:rsidRPr="00626821" w:rsidRDefault="00626821" w:rsidP="00075938">
      <w:pPr>
        <w:spacing w:after="60"/>
        <w:jc w:val="center"/>
        <w:rPr>
          <w:b/>
          <w:bCs/>
          <w:color w:val="1F2E5C"/>
          <w:sz w:val="12"/>
          <w:szCs w:val="12"/>
        </w:rPr>
      </w:pPr>
    </w:p>
    <w:p w14:paraId="5921B0E1" w14:textId="0AE6EDF1" w:rsidR="00A063A0" w:rsidRPr="00075938" w:rsidRDefault="00000000" w:rsidP="00075938">
      <w:pPr>
        <w:spacing w:after="60"/>
        <w:jc w:val="center"/>
        <w:rPr>
          <w:b/>
          <w:bCs/>
          <w:color w:val="1F2E5C"/>
          <w:sz w:val="40"/>
          <w:szCs w:val="40"/>
        </w:rPr>
      </w:pPr>
      <w:r>
        <w:rPr>
          <w:b/>
          <w:bCs/>
          <w:color w:val="1F2E5C"/>
          <w:sz w:val="40"/>
          <w:szCs w:val="40"/>
        </w:rPr>
        <w:t>“ESSENTIAL” PATIENT FORMS PACKAGE</w:t>
      </w:r>
    </w:p>
    <w:p w14:paraId="7C8B7F7A" w14:textId="77777777" w:rsidR="00A063A0" w:rsidRDefault="00000000">
      <w:pPr>
        <w:spacing w:after="120"/>
        <w:jc w:val="center"/>
      </w:pPr>
      <w:r>
        <w:rPr>
          <w:i/>
          <w:iCs/>
          <w:color w:val="555555"/>
        </w:rPr>
        <w:t>Available for Physical Location Practices or Telehealth Practices</w:t>
      </w:r>
    </w:p>
    <w:p w14:paraId="0EA66010" w14:textId="77777777" w:rsidR="00A063A0" w:rsidRPr="00626821" w:rsidRDefault="00A063A0">
      <w:pPr>
        <w:pBdr>
          <w:bottom w:val="single" w:sz="8" w:space="1" w:color="B08D3C"/>
        </w:pBdr>
        <w:spacing w:before="60" w:after="60"/>
        <w:rPr>
          <w:sz w:val="12"/>
          <w:szCs w:val="1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063A0" w14:paraId="124416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F2E5C"/>
              <w:left w:val="single" w:sz="8" w:space="0" w:color="1F2E5C"/>
              <w:bottom w:val="single" w:sz="8" w:space="0" w:color="1F2E5C"/>
              <w:right w:val="single" w:sz="8" w:space="0" w:color="1F2E5C"/>
            </w:tcBorders>
            <w:shd w:val="clear" w:color="auto" w:fill="E8ECF4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FBFF924" w14:textId="77777777" w:rsidR="00A063A0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1F2E5C"/>
                <w:sz w:val="24"/>
                <w:szCs w:val="24"/>
              </w:rPr>
              <w:t>FLAT FEE</w:t>
            </w:r>
          </w:p>
          <w:p w14:paraId="22C59DD1" w14:textId="77777777" w:rsidR="00A063A0" w:rsidRDefault="00000000">
            <w:pPr>
              <w:spacing w:after="60"/>
              <w:jc w:val="center"/>
            </w:pPr>
            <w:r>
              <w:rPr>
                <w:b/>
                <w:bCs/>
                <w:color w:val="B08D3C"/>
                <w:sz w:val="44"/>
                <w:szCs w:val="44"/>
              </w:rPr>
              <w:t>$2,450</w:t>
            </w:r>
          </w:p>
        </w:tc>
      </w:tr>
    </w:tbl>
    <w:p w14:paraId="591449A4" w14:textId="77777777" w:rsidR="00A063A0" w:rsidRDefault="00A063A0">
      <w:pPr>
        <w:spacing w:before="200"/>
      </w:pPr>
    </w:p>
    <w:p w14:paraId="7A59EB5F" w14:textId="77777777" w:rsidR="00A063A0" w:rsidRDefault="00000000">
      <w:pPr>
        <w:spacing w:before="60" w:after="120" w:line="320" w:lineRule="auto"/>
      </w:pPr>
      <w:r>
        <w:t>Designed for California healthcare practices seeking professionally customized patient-facing forms, office policies, and foundational legal documents for day-to-day operations.</w:t>
      </w:r>
    </w:p>
    <w:p w14:paraId="66A790B3" w14:textId="77777777" w:rsidR="00A063A0" w:rsidRDefault="00000000">
      <w:pPr>
        <w:pStyle w:val="Heading1"/>
      </w:pPr>
      <w:r>
        <w:t>Included Documents &amp; Policies</w:t>
      </w:r>
    </w:p>
    <w:p w14:paraId="4567002A" w14:textId="77777777" w:rsidR="00A063A0" w:rsidRDefault="00000000">
      <w:pPr>
        <w:pStyle w:val="Heading2"/>
      </w:pPr>
      <w:r>
        <w:t>I.  Patient Forms &amp; Authorizations</w:t>
      </w:r>
    </w:p>
    <w:p w14:paraId="1B7E1CA2" w14:textId="77777777" w:rsidR="00A063A0" w:rsidRDefault="00000000">
      <w:pPr>
        <w:spacing w:before="60" w:after="100" w:line="300" w:lineRule="auto"/>
      </w:pPr>
      <w:r>
        <w:rPr>
          <w:i/>
          <w:iCs/>
          <w:color w:val="555555"/>
        </w:rPr>
        <w:t>Foundational patient-facing forms used during intake, treatment, communication, and record management.</w:t>
      </w:r>
    </w:p>
    <w:p w14:paraId="501D305E" w14:textId="77777777" w:rsidR="00A063A0" w:rsidRDefault="00000000">
      <w:pPr>
        <w:pStyle w:val="Heading3"/>
      </w:pPr>
      <w:r>
        <w:t>Intake &amp; Patient Information Forms</w:t>
      </w:r>
    </w:p>
    <w:p w14:paraId="0AD564DD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New Patient Intake Form</w:t>
      </w:r>
    </w:p>
    <w:p w14:paraId="378B162D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Medical History Questionnaire</w:t>
      </w:r>
    </w:p>
    <w:p w14:paraId="6DDE9669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Emergency Contact Authorization</w:t>
      </w:r>
    </w:p>
    <w:p w14:paraId="0F3D20BA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Medical Information Disclosure Authorization</w:t>
      </w:r>
    </w:p>
    <w:p w14:paraId="371D264F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Consent to Contact Patient (Phone, Text, and Email Communications)</w:t>
      </w:r>
    </w:p>
    <w:p w14:paraId="74537B04" w14:textId="77777777" w:rsidR="00A063A0" w:rsidRDefault="00000000">
      <w:pPr>
        <w:pStyle w:val="Heading3"/>
      </w:pPr>
      <w:r>
        <w:t>HIPAA &amp; Privacy Authorizations</w:t>
      </w:r>
    </w:p>
    <w:p w14:paraId="41A32BE2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HIPAA Acknowledgment and Privacy Authorization</w:t>
      </w:r>
    </w:p>
    <w:p w14:paraId="2BD75871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Authorization for Release of Information (ROI)</w:t>
      </w:r>
    </w:p>
    <w:p w14:paraId="7F68AAA2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California-Compliant Notice of Privacy Practices (NPP)</w:t>
      </w:r>
    </w:p>
    <w:p w14:paraId="6D6702E8" w14:textId="77777777" w:rsidR="00A063A0" w:rsidRDefault="00000000">
      <w:pPr>
        <w:pStyle w:val="Heading3"/>
      </w:pPr>
      <w:r>
        <w:t>General Consent Forms</w:t>
      </w:r>
    </w:p>
    <w:p w14:paraId="23E77A71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General Treatment and Informed Consent</w:t>
      </w:r>
    </w:p>
    <w:p w14:paraId="0250F3C8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Consent for Electronic Communications</w:t>
      </w:r>
    </w:p>
    <w:p w14:paraId="33E8053F" w14:textId="77777777" w:rsidR="002027DF" w:rsidRDefault="002027DF" w:rsidP="002027DF">
      <w:pPr>
        <w:spacing w:before="30" w:after="30" w:line="280" w:lineRule="auto"/>
      </w:pPr>
    </w:p>
    <w:p w14:paraId="2A9AA18C" w14:textId="77777777" w:rsidR="002027DF" w:rsidRDefault="002027DF" w:rsidP="002027DF">
      <w:pPr>
        <w:spacing w:before="30" w:after="30" w:line="280" w:lineRule="auto"/>
      </w:pPr>
    </w:p>
    <w:p w14:paraId="33693D27" w14:textId="77777777" w:rsidR="002027DF" w:rsidRDefault="002027DF" w:rsidP="002027DF">
      <w:pPr>
        <w:spacing w:before="30" w:after="30" w:line="280" w:lineRule="auto"/>
      </w:pPr>
    </w:p>
    <w:p w14:paraId="76A4F201" w14:textId="77777777" w:rsidR="00A063A0" w:rsidRDefault="00000000">
      <w:pPr>
        <w:pStyle w:val="Heading2"/>
      </w:pPr>
      <w:r>
        <w:lastRenderedPageBreak/>
        <w:t>II.  Practice Policies &amp; Financial Agreements</w:t>
      </w:r>
    </w:p>
    <w:p w14:paraId="30E512F8" w14:textId="77777777" w:rsidR="00A063A0" w:rsidRDefault="00000000">
      <w:pPr>
        <w:spacing w:before="60" w:after="100" w:line="300" w:lineRule="auto"/>
      </w:pPr>
      <w:r>
        <w:rPr>
          <w:i/>
          <w:iCs/>
          <w:color w:val="555555"/>
        </w:rPr>
        <w:t>Office policies and patient agreements designed to help establish expectations and support day-to-day practice operations.</w:t>
      </w:r>
    </w:p>
    <w:p w14:paraId="5F156F36" w14:textId="77777777" w:rsidR="00A063A0" w:rsidRDefault="00000000">
      <w:pPr>
        <w:pStyle w:val="Heading3"/>
      </w:pPr>
      <w:r>
        <w:t>Financial Policies &amp; Payment Agreements</w:t>
      </w:r>
    </w:p>
    <w:p w14:paraId="54585085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Financial Policy and Payment Agreement</w:t>
      </w:r>
    </w:p>
    <w:p w14:paraId="5B15D95A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Credit Card Authorization Form</w:t>
      </w:r>
    </w:p>
    <w:p w14:paraId="70404622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Cancellation, Late Arrival, and No-Show Policy</w:t>
      </w:r>
    </w:p>
    <w:p w14:paraId="6CCF6A87" w14:textId="77777777" w:rsidR="00A063A0" w:rsidRDefault="00000000">
      <w:pPr>
        <w:pStyle w:val="Heading3"/>
      </w:pPr>
      <w:r>
        <w:t>Office &amp; Communication Policies</w:t>
      </w:r>
    </w:p>
    <w:p w14:paraId="6C36B7B3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Office Policies Acknowledgment</w:t>
      </w:r>
    </w:p>
    <w:p w14:paraId="0A323535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Emergency Communication Consent</w:t>
      </w:r>
    </w:p>
    <w:p w14:paraId="432FEA60" w14:textId="77777777" w:rsidR="00A063A0" w:rsidRDefault="00000000">
      <w:pPr>
        <w:pStyle w:val="Heading3"/>
      </w:pPr>
      <w:r>
        <w:t>Emergency Contact &amp; Communication Forms</w:t>
      </w:r>
    </w:p>
    <w:p w14:paraId="203F4097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Emergency Contact Authorization (Simple Version)</w:t>
      </w:r>
    </w:p>
    <w:p w14:paraId="359DA0EC" w14:textId="77777777" w:rsidR="00A063A0" w:rsidRDefault="00000000">
      <w:pPr>
        <w:pStyle w:val="Heading2"/>
      </w:pPr>
      <w:r>
        <w:t>III.  Website Legal Documents</w:t>
      </w:r>
    </w:p>
    <w:p w14:paraId="7B333CD2" w14:textId="77777777" w:rsidR="00A063A0" w:rsidRDefault="00000000">
      <w:pPr>
        <w:spacing w:before="60" w:after="100" w:line="300" w:lineRule="auto"/>
      </w:pPr>
      <w:r>
        <w:rPr>
          <w:i/>
          <w:iCs/>
          <w:color w:val="555555"/>
        </w:rPr>
        <w:t>Foundational legal notices and website policies commonly recommended for California healthcare provider websites.</w:t>
      </w:r>
    </w:p>
    <w:p w14:paraId="77B1423E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Website Terms and Conditions</w:t>
      </w:r>
    </w:p>
    <w:p w14:paraId="66472B66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Website Privacy Policy</w:t>
      </w:r>
    </w:p>
    <w:p w14:paraId="5358D107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HIPAA Website Disclaimer</w:t>
      </w:r>
    </w:p>
    <w:p w14:paraId="1157E5BE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No Physician-Patient Relationship / Informational Use Disclaimer (if applicable)</w:t>
      </w:r>
    </w:p>
    <w:p w14:paraId="74156896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SMS/Text Messaging Consent Language</w:t>
      </w:r>
    </w:p>
    <w:p w14:paraId="0AB094B0" w14:textId="77777777" w:rsidR="00626821" w:rsidRPr="00626821" w:rsidRDefault="00626821" w:rsidP="00626821">
      <w:pPr>
        <w:pStyle w:val="Heading1"/>
        <w:jc w:val="center"/>
        <w:rPr>
          <w:sz w:val="12"/>
          <w:szCs w:val="12"/>
        </w:rPr>
      </w:pPr>
    </w:p>
    <w:p w14:paraId="637F282F" w14:textId="785D5936" w:rsidR="00626821" w:rsidRPr="00626821" w:rsidRDefault="00000000" w:rsidP="00626821">
      <w:pPr>
        <w:pStyle w:val="Heading1"/>
        <w:jc w:val="center"/>
        <w:rPr>
          <w:u w:val="single"/>
        </w:rPr>
      </w:pPr>
      <w:r w:rsidRPr="00626821">
        <w:rPr>
          <w:u w:val="single"/>
        </w:rPr>
        <w:t>Optional</w:t>
      </w:r>
      <w:r w:rsidR="00626821">
        <w:rPr>
          <w:u w:val="single"/>
        </w:rPr>
        <w:t xml:space="preserve"> Add-On Services</w:t>
      </w:r>
    </w:p>
    <w:p w14:paraId="3FF12CE7" w14:textId="77777777" w:rsidR="00626821" w:rsidRDefault="00626821">
      <w:pPr>
        <w:spacing w:before="200" w:after="60"/>
        <w:rPr>
          <w:b/>
          <w:bCs/>
          <w:color w:val="B08D3C"/>
          <w:sz w:val="26"/>
          <w:szCs w:val="26"/>
        </w:rPr>
      </w:pPr>
    </w:p>
    <w:p w14:paraId="436386AE" w14:textId="0CFF79D2" w:rsidR="00A063A0" w:rsidRDefault="00000000">
      <w:pPr>
        <w:spacing w:before="200" w:after="60"/>
      </w:pPr>
      <w:r>
        <w:rPr>
          <w:b/>
          <w:bCs/>
          <w:color w:val="B08D3C"/>
          <w:sz w:val="26"/>
          <w:szCs w:val="26"/>
        </w:rPr>
        <w:t xml:space="preserve">A. </w:t>
      </w:r>
      <w:r>
        <w:rPr>
          <w:b/>
          <w:bCs/>
          <w:color w:val="1F2E5C"/>
          <w:sz w:val="26"/>
          <w:szCs w:val="26"/>
        </w:rPr>
        <w:t>Telehealth Consent Add-On</w:t>
      </w:r>
      <w:r>
        <w:rPr>
          <w:b/>
          <w:bCs/>
          <w:color w:val="555555"/>
        </w:rPr>
        <w:t xml:space="preserve">   —   Flat Fee Add-On: $500</w:t>
      </w:r>
    </w:p>
    <w:p w14:paraId="5C329C8C" w14:textId="77777777" w:rsidR="00A063A0" w:rsidRDefault="00000000">
      <w:pPr>
        <w:spacing w:before="60" w:after="80" w:line="300" w:lineRule="auto"/>
      </w:pPr>
      <w:r>
        <w:rPr>
          <w:i/>
          <w:iCs/>
          <w:color w:val="555555"/>
        </w:rPr>
        <w:t>(For practices adding telehealth services to an existing physical location. Telehealth-only practices will receive applicable telehealth documents within the Essential Package at no additional charge.)</w:t>
      </w:r>
    </w:p>
    <w:p w14:paraId="7A5920E5" w14:textId="77777777" w:rsidR="00626821" w:rsidRPr="00626821" w:rsidRDefault="00626821">
      <w:pPr>
        <w:spacing w:before="60" w:after="60" w:line="300" w:lineRule="auto"/>
        <w:rPr>
          <w:sz w:val="13"/>
          <w:szCs w:val="13"/>
        </w:rPr>
      </w:pPr>
    </w:p>
    <w:p w14:paraId="1CAC90CF" w14:textId="6B5D6E30" w:rsidR="00A063A0" w:rsidRDefault="00000000">
      <w:pPr>
        <w:spacing w:before="60" w:after="60" w:line="300" w:lineRule="auto"/>
      </w:pPr>
      <w:r>
        <w:t>For practices offering telehealth or virtual visits in addition to in-person care.</w:t>
      </w:r>
    </w:p>
    <w:p w14:paraId="233C28E5" w14:textId="77777777" w:rsidR="00A063A0" w:rsidRDefault="00000000">
      <w:pPr>
        <w:spacing w:before="60" w:after="40" w:line="300" w:lineRule="auto"/>
      </w:pPr>
      <w:r>
        <w:rPr>
          <w:b/>
          <w:bCs/>
        </w:rPr>
        <w:t>Includes:</w:t>
      </w:r>
    </w:p>
    <w:p w14:paraId="55F9AEE9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California Telehealth Consent</w:t>
      </w:r>
    </w:p>
    <w:p w14:paraId="66B7F2B0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Telehealth Technology and Communication Risks Disclosure</w:t>
      </w:r>
    </w:p>
    <w:p w14:paraId="39E6462B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Virtual Care Policies &amp; Patient Responsibilities</w:t>
      </w:r>
    </w:p>
    <w:p w14:paraId="521EBF9A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Telehealth Disclaimer (if applicable to website functionality)</w:t>
      </w:r>
    </w:p>
    <w:p w14:paraId="1E22FD0E" w14:textId="77777777" w:rsidR="00626821" w:rsidRDefault="00626821">
      <w:pPr>
        <w:spacing w:before="200" w:after="60"/>
        <w:rPr>
          <w:b/>
          <w:bCs/>
          <w:color w:val="B08D3C"/>
          <w:sz w:val="26"/>
          <w:szCs w:val="26"/>
        </w:rPr>
      </w:pPr>
    </w:p>
    <w:p w14:paraId="64A7347D" w14:textId="77777777" w:rsidR="00626821" w:rsidRDefault="00626821">
      <w:pPr>
        <w:spacing w:before="200" w:after="60"/>
        <w:rPr>
          <w:b/>
          <w:bCs/>
          <w:color w:val="B08D3C"/>
          <w:sz w:val="26"/>
          <w:szCs w:val="26"/>
        </w:rPr>
      </w:pPr>
    </w:p>
    <w:p w14:paraId="6DF41468" w14:textId="77777777" w:rsidR="00626821" w:rsidRDefault="00626821">
      <w:pPr>
        <w:spacing w:before="200" w:after="60"/>
        <w:rPr>
          <w:b/>
          <w:bCs/>
          <w:color w:val="B08D3C"/>
          <w:sz w:val="26"/>
          <w:szCs w:val="26"/>
        </w:rPr>
      </w:pPr>
    </w:p>
    <w:p w14:paraId="00A96AF0" w14:textId="511C6328" w:rsidR="00A063A0" w:rsidRDefault="00000000">
      <w:pPr>
        <w:spacing w:before="200" w:after="60"/>
      </w:pPr>
      <w:r>
        <w:rPr>
          <w:b/>
          <w:bCs/>
          <w:color w:val="B08D3C"/>
          <w:sz w:val="26"/>
          <w:szCs w:val="26"/>
        </w:rPr>
        <w:t xml:space="preserve">B. </w:t>
      </w:r>
      <w:r>
        <w:rPr>
          <w:b/>
          <w:bCs/>
          <w:color w:val="1F2E5C"/>
          <w:sz w:val="26"/>
          <w:szCs w:val="26"/>
        </w:rPr>
        <w:t>Direct Primary Care / Membership Practice Add-On</w:t>
      </w:r>
      <w:r>
        <w:rPr>
          <w:b/>
          <w:bCs/>
          <w:color w:val="555555"/>
        </w:rPr>
        <w:t xml:space="preserve">   —   Flat Fee Add-On: $995</w:t>
      </w:r>
    </w:p>
    <w:p w14:paraId="7E78338E" w14:textId="77777777" w:rsidR="00A063A0" w:rsidRDefault="00000000">
      <w:pPr>
        <w:spacing w:before="60" w:after="60" w:line="300" w:lineRule="auto"/>
      </w:pPr>
      <w:r>
        <w:t>For concierge, direct primary care (DPC), membership-based, wellness, or cash-pay practices.</w:t>
      </w:r>
    </w:p>
    <w:p w14:paraId="645EBB88" w14:textId="77777777" w:rsidR="00A063A0" w:rsidRDefault="00000000">
      <w:pPr>
        <w:spacing w:before="60" w:after="40" w:line="300" w:lineRule="auto"/>
      </w:pPr>
      <w:r>
        <w:rPr>
          <w:b/>
          <w:bCs/>
        </w:rPr>
        <w:t>Includes:</w:t>
      </w:r>
    </w:p>
    <w:p w14:paraId="214D39D5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Membership Agreement</w:t>
      </w:r>
    </w:p>
    <w:p w14:paraId="2AB069A9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Subscription &amp; Recurring Payment Terms</w:t>
      </w:r>
    </w:p>
    <w:p w14:paraId="4CD24499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Membership Cancellation Policy</w:t>
      </w:r>
    </w:p>
    <w:p w14:paraId="399E7102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Non-Insurance / Membership Model Disclosure Language</w:t>
      </w:r>
    </w:p>
    <w:p w14:paraId="6489D5ED" w14:textId="77777777" w:rsidR="00626821" w:rsidRDefault="00626821">
      <w:pPr>
        <w:spacing w:before="200" w:after="60"/>
        <w:rPr>
          <w:b/>
          <w:bCs/>
          <w:color w:val="B08D3C"/>
          <w:sz w:val="26"/>
          <w:szCs w:val="26"/>
        </w:rPr>
      </w:pPr>
    </w:p>
    <w:p w14:paraId="0E6221E3" w14:textId="04845A53" w:rsidR="00A063A0" w:rsidRDefault="00000000">
      <w:pPr>
        <w:spacing w:before="200" w:after="60"/>
      </w:pPr>
      <w:r>
        <w:rPr>
          <w:b/>
          <w:bCs/>
          <w:color w:val="B08D3C"/>
          <w:sz w:val="26"/>
          <w:szCs w:val="26"/>
        </w:rPr>
        <w:t xml:space="preserve">C. </w:t>
      </w:r>
      <w:r>
        <w:rPr>
          <w:b/>
          <w:bCs/>
          <w:color w:val="1F2E5C"/>
          <w:sz w:val="26"/>
          <w:szCs w:val="26"/>
        </w:rPr>
        <w:t>Specialty Procedure / Surgical Consent Add-On</w:t>
      </w:r>
      <w:r>
        <w:rPr>
          <w:b/>
          <w:bCs/>
          <w:color w:val="555555"/>
        </w:rPr>
        <w:t xml:space="preserve">   —   Starting at $350–$500 per consent</w:t>
      </w:r>
    </w:p>
    <w:p w14:paraId="65BAB1DE" w14:textId="77777777" w:rsidR="00A063A0" w:rsidRDefault="00000000">
      <w:pPr>
        <w:spacing w:before="60" w:after="60" w:line="300" w:lineRule="auto"/>
      </w:pPr>
      <w:r>
        <w:t>Customized procedure-specific informed consent forms (price varies based on complexity).</w:t>
      </w:r>
    </w:p>
    <w:p w14:paraId="46467886" w14:textId="77777777" w:rsidR="00A063A0" w:rsidRDefault="00000000">
      <w:pPr>
        <w:spacing w:before="60" w:after="40" w:line="300" w:lineRule="auto"/>
      </w:pPr>
      <w:r>
        <w:rPr>
          <w:b/>
          <w:bCs/>
        </w:rPr>
        <w:t>Examples of Specialty Consents Include:</w:t>
      </w:r>
    </w:p>
    <w:p w14:paraId="188A9595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Cosmetic / Aesthetic Procedures</w:t>
      </w:r>
    </w:p>
    <w:p w14:paraId="179933FF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Oral Surgery / Sedation</w:t>
      </w:r>
    </w:p>
    <w:p w14:paraId="6B6C8052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Chiropractic Adjustments</w:t>
      </w:r>
    </w:p>
    <w:p w14:paraId="3C83BCF4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Functional Medicine / Integrative Therapies</w:t>
      </w:r>
    </w:p>
    <w:p w14:paraId="24F4BD86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Weight Loss / GLP-1 Programs</w:t>
      </w:r>
    </w:p>
    <w:p w14:paraId="5C179233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Hormone Therapy</w:t>
      </w:r>
    </w:p>
    <w:p w14:paraId="0F50842C" w14:textId="77777777" w:rsidR="00A063A0" w:rsidRDefault="00000000">
      <w:pPr>
        <w:pStyle w:val="ListParagraph"/>
        <w:numPr>
          <w:ilvl w:val="0"/>
          <w:numId w:val="2"/>
        </w:numPr>
        <w:spacing w:before="30" w:after="30" w:line="280" w:lineRule="auto"/>
      </w:pPr>
      <w:r>
        <w:t>IV Therapy</w:t>
      </w:r>
    </w:p>
    <w:p w14:paraId="1EEB5711" w14:textId="77777777" w:rsidR="00A063A0" w:rsidRDefault="00A063A0">
      <w:pPr>
        <w:spacing w:before="320"/>
      </w:pPr>
    </w:p>
    <w:p w14:paraId="4577DACD" w14:textId="77777777" w:rsidR="00A063A0" w:rsidRDefault="00A063A0">
      <w:pPr>
        <w:pBdr>
          <w:bottom w:val="single" w:sz="8" w:space="1" w:color="B08D3C"/>
        </w:pBdr>
        <w:spacing w:before="60" w:after="60"/>
      </w:pPr>
    </w:p>
    <w:p w14:paraId="154CCE40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62985A9C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630D02B7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541395D4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3BA87835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472886B1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16A112C2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4BA77AEE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414E54BB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50177ACF" w14:textId="77777777" w:rsidR="00626821" w:rsidRDefault="00626821">
      <w:pPr>
        <w:pBdr>
          <w:bottom w:val="single" w:sz="8" w:space="1" w:color="B08D3C"/>
        </w:pBdr>
        <w:spacing w:before="60" w:after="60"/>
      </w:pPr>
    </w:p>
    <w:p w14:paraId="2211CA15" w14:textId="77777777" w:rsidR="00A063A0" w:rsidRDefault="00000000">
      <w:pPr>
        <w:spacing w:before="100" w:after="60"/>
      </w:pPr>
      <w:r>
        <w:rPr>
          <w:b/>
          <w:bCs/>
          <w:color w:val="1F2E5C"/>
          <w:sz w:val="24"/>
          <w:szCs w:val="24"/>
        </w:rPr>
        <w:t>Important Note</w:t>
      </w:r>
    </w:p>
    <w:p w14:paraId="1F8258C7" w14:textId="77777777" w:rsidR="00A063A0" w:rsidRDefault="00000000">
      <w:pPr>
        <w:spacing w:before="60" w:after="60" w:line="320" w:lineRule="auto"/>
      </w:pPr>
      <w:r>
        <w:rPr>
          <w:i/>
          <w:iCs/>
        </w:rPr>
        <w:t>Pricing assumes a solo or small group California healthcare practice with standard operations and includes one consolidated draft and one round of revisions.</w:t>
      </w:r>
    </w:p>
    <w:p w14:paraId="66949944" w14:textId="77777777" w:rsidR="00A063A0" w:rsidRDefault="00A063A0">
      <w:pPr>
        <w:spacing w:before="160"/>
      </w:pPr>
    </w:p>
    <w:p w14:paraId="6DC8B0C6" w14:textId="77777777" w:rsidR="00A063A0" w:rsidRDefault="00000000">
      <w:pPr>
        <w:spacing w:before="80" w:after="60"/>
        <w:jc w:val="center"/>
      </w:pPr>
      <w:r>
        <w:rPr>
          <w:b/>
          <w:bCs/>
          <w:i/>
          <w:iCs/>
          <w:color w:val="1F2E5C"/>
        </w:rPr>
        <w:t>Patient forms are more than paperwork — they are part of the legal and operational foundation of your healthcare practice.</w:t>
      </w:r>
    </w:p>
    <w:sectPr w:rsidR="00A063A0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C340" w14:textId="77777777" w:rsidR="009E4ED4" w:rsidRDefault="009E4ED4">
      <w:r>
        <w:separator/>
      </w:r>
    </w:p>
  </w:endnote>
  <w:endnote w:type="continuationSeparator" w:id="0">
    <w:p w14:paraId="2CAA0A9B" w14:textId="77777777" w:rsidR="009E4ED4" w:rsidRDefault="009E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4DC" w14:textId="77777777" w:rsidR="00A063A0" w:rsidRDefault="00000000">
    <w:pPr>
      <w:pBdr>
        <w:top w:val="single" w:sz="4" w:space="4" w:color="B08D3C"/>
      </w:pBdr>
      <w:jc w:val="center"/>
    </w:pPr>
    <w:r>
      <w:rPr>
        <w:color w:val="555555"/>
        <w:sz w:val="16"/>
        <w:szCs w:val="16"/>
      </w:rPr>
      <w:t xml:space="preserve">West Coast Health Law </w:t>
    </w:r>
    <w:proofErr w:type="gramStart"/>
    <w:r>
      <w:rPr>
        <w:color w:val="555555"/>
        <w:sz w:val="16"/>
        <w:szCs w:val="16"/>
      </w:rPr>
      <w:t>Group  |</w:t>
    </w:r>
    <w:proofErr w:type="gramEnd"/>
    <w:r>
      <w:rPr>
        <w:color w:val="555555"/>
        <w:sz w:val="16"/>
        <w:szCs w:val="16"/>
      </w:rPr>
      <w:t xml:space="preserve">  Patient Forms Package </w:t>
    </w:r>
    <w:proofErr w:type="gramStart"/>
    <w:r>
      <w:rPr>
        <w:color w:val="555555"/>
        <w:sz w:val="16"/>
        <w:szCs w:val="16"/>
      </w:rPr>
      <w:t>Pricing  |</w:t>
    </w:r>
    <w:proofErr w:type="gramEnd"/>
    <w:r>
      <w:rPr>
        <w:color w:val="555555"/>
        <w:sz w:val="16"/>
        <w:szCs w:val="16"/>
      </w:rPr>
      <w:t xml:space="preserve">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075938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3111" w14:textId="77777777" w:rsidR="009E4ED4" w:rsidRDefault="009E4ED4">
      <w:r>
        <w:separator/>
      </w:r>
    </w:p>
  </w:footnote>
  <w:footnote w:type="continuationSeparator" w:id="0">
    <w:p w14:paraId="0BC0EE0C" w14:textId="77777777" w:rsidR="009E4ED4" w:rsidRDefault="009E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A343" w14:textId="77777777" w:rsidR="00A063A0" w:rsidRDefault="00000000">
    <w:pPr>
      <w:spacing w:after="60"/>
      <w:jc w:val="right"/>
    </w:pPr>
    <w:r>
      <w:rPr>
        <w:b/>
        <w:bCs/>
        <w:color w:val="1F2E5C"/>
        <w:sz w:val="18"/>
        <w:szCs w:val="18"/>
      </w:rPr>
      <w:t>WEST COAST HEALTH LAW GROUP</w:t>
    </w:r>
  </w:p>
  <w:p w14:paraId="770F1269" w14:textId="10B9B404" w:rsidR="00A063A0" w:rsidRDefault="00000000">
    <w:pPr>
      <w:pBdr>
        <w:bottom w:val="single" w:sz="6" w:space="4" w:color="B08D3C"/>
      </w:pBdr>
      <w:jc w:val="right"/>
    </w:pPr>
    <w:r>
      <w:rPr>
        <w:i/>
        <w:iCs/>
        <w:color w:val="555555"/>
        <w:sz w:val="16"/>
        <w:szCs w:val="16"/>
      </w:rPr>
      <w:t xml:space="preserve"> </w:t>
    </w:r>
    <w:r w:rsidR="00075938">
      <w:rPr>
        <w:i/>
        <w:iCs/>
        <w:color w:val="555555"/>
        <w:sz w:val="16"/>
        <w:szCs w:val="16"/>
      </w:rPr>
      <w:t>A Division of West Coast Counsel, 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97E"/>
    <w:multiLevelType w:val="hybridMultilevel"/>
    <w:tmpl w:val="FE0E048E"/>
    <w:lvl w:ilvl="0" w:tplc="1E5AE42A">
      <w:start w:val="1"/>
      <w:numFmt w:val="bullet"/>
      <w:lvlText w:val="●"/>
      <w:lvlJc w:val="left"/>
      <w:pPr>
        <w:ind w:left="720" w:hanging="360"/>
      </w:pPr>
    </w:lvl>
    <w:lvl w:ilvl="1" w:tplc="ADBEF47E">
      <w:start w:val="1"/>
      <w:numFmt w:val="bullet"/>
      <w:lvlText w:val="○"/>
      <w:lvlJc w:val="left"/>
      <w:pPr>
        <w:ind w:left="1440" w:hanging="360"/>
      </w:pPr>
    </w:lvl>
    <w:lvl w:ilvl="2" w:tplc="116A780C">
      <w:start w:val="1"/>
      <w:numFmt w:val="bullet"/>
      <w:lvlText w:val="■"/>
      <w:lvlJc w:val="left"/>
      <w:pPr>
        <w:ind w:left="2160" w:hanging="360"/>
      </w:pPr>
    </w:lvl>
    <w:lvl w:ilvl="3" w:tplc="0834F212">
      <w:start w:val="1"/>
      <w:numFmt w:val="bullet"/>
      <w:lvlText w:val="●"/>
      <w:lvlJc w:val="left"/>
      <w:pPr>
        <w:ind w:left="2880" w:hanging="360"/>
      </w:pPr>
    </w:lvl>
    <w:lvl w:ilvl="4" w:tplc="1D9EBE8E">
      <w:start w:val="1"/>
      <w:numFmt w:val="bullet"/>
      <w:lvlText w:val="○"/>
      <w:lvlJc w:val="left"/>
      <w:pPr>
        <w:ind w:left="3600" w:hanging="360"/>
      </w:pPr>
    </w:lvl>
    <w:lvl w:ilvl="5" w:tplc="BE5C8530">
      <w:start w:val="1"/>
      <w:numFmt w:val="bullet"/>
      <w:lvlText w:val="■"/>
      <w:lvlJc w:val="left"/>
      <w:pPr>
        <w:ind w:left="4320" w:hanging="360"/>
      </w:pPr>
    </w:lvl>
    <w:lvl w:ilvl="6" w:tplc="E9B8CF24">
      <w:start w:val="1"/>
      <w:numFmt w:val="bullet"/>
      <w:lvlText w:val="●"/>
      <w:lvlJc w:val="left"/>
      <w:pPr>
        <w:ind w:left="5040" w:hanging="360"/>
      </w:pPr>
    </w:lvl>
    <w:lvl w:ilvl="7" w:tplc="273C856A">
      <w:start w:val="1"/>
      <w:numFmt w:val="bullet"/>
      <w:lvlText w:val="●"/>
      <w:lvlJc w:val="left"/>
      <w:pPr>
        <w:ind w:left="5760" w:hanging="360"/>
      </w:pPr>
    </w:lvl>
    <w:lvl w:ilvl="8" w:tplc="999C9E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0B9432D"/>
    <w:multiLevelType w:val="hybridMultilevel"/>
    <w:tmpl w:val="8A0A2E72"/>
    <w:lvl w:ilvl="0" w:tplc="321251D2">
      <w:start w:val="1"/>
      <w:numFmt w:val="bullet"/>
      <w:lvlText w:val="•"/>
      <w:lvlJc w:val="left"/>
      <w:pPr>
        <w:ind w:left="720" w:hanging="360"/>
      </w:pPr>
    </w:lvl>
    <w:lvl w:ilvl="1" w:tplc="38988B8A">
      <w:start w:val="1"/>
      <w:numFmt w:val="bullet"/>
      <w:lvlText w:val="◦"/>
      <w:lvlJc w:val="left"/>
      <w:pPr>
        <w:ind w:left="1440" w:hanging="360"/>
      </w:pPr>
    </w:lvl>
    <w:lvl w:ilvl="2" w:tplc="9300D714">
      <w:numFmt w:val="decimal"/>
      <w:lvlText w:val=""/>
      <w:lvlJc w:val="left"/>
    </w:lvl>
    <w:lvl w:ilvl="3" w:tplc="B5E0DC54">
      <w:numFmt w:val="decimal"/>
      <w:lvlText w:val=""/>
      <w:lvlJc w:val="left"/>
    </w:lvl>
    <w:lvl w:ilvl="4" w:tplc="21B2EA9A">
      <w:numFmt w:val="decimal"/>
      <w:lvlText w:val=""/>
      <w:lvlJc w:val="left"/>
    </w:lvl>
    <w:lvl w:ilvl="5" w:tplc="B4269DA4">
      <w:numFmt w:val="decimal"/>
      <w:lvlText w:val=""/>
      <w:lvlJc w:val="left"/>
    </w:lvl>
    <w:lvl w:ilvl="6" w:tplc="337697E6">
      <w:numFmt w:val="decimal"/>
      <w:lvlText w:val=""/>
      <w:lvlJc w:val="left"/>
    </w:lvl>
    <w:lvl w:ilvl="7" w:tplc="DE8A0984">
      <w:numFmt w:val="decimal"/>
      <w:lvlText w:val=""/>
      <w:lvlJc w:val="left"/>
    </w:lvl>
    <w:lvl w:ilvl="8" w:tplc="7D34D492">
      <w:numFmt w:val="decimal"/>
      <w:lvlText w:val=""/>
      <w:lvlJc w:val="left"/>
    </w:lvl>
  </w:abstractNum>
  <w:num w:numId="1" w16cid:durableId="1547836363">
    <w:abstractNumId w:val="0"/>
    <w:lvlOverride w:ilvl="0">
      <w:startOverride w:val="1"/>
    </w:lvlOverride>
  </w:num>
  <w:num w:numId="2" w16cid:durableId="9074972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A0"/>
    <w:rsid w:val="00075938"/>
    <w:rsid w:val="002027DF"/>
    <w:rsid w:val="0049274F"/>
    <w:rsid w:val="00626821"/>
    <w:rsid w:val="009E4ED4"/>
    <w:rsid w:val="00A063A0"/>
    <w:rsid w:val="00B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150A"/>
  <w15:docId w15:val="{552A6452-2784-1248-A576-19A85A4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1F2E5C"/>
      <w:sz w:val="32"/>
      <w:szCs w:val="32"/>
    </w:rPr>
  </w:style>
  <w:style w:type="paragraph" w:styleId="Heading2">
    <w:name w:val="heading 2"/>
    <w:uiPriority w:val="9"/>
    <w:unhideWhenUsed/>
    <w:qFormat/>
    <w:pPr>
      <w:spacing w:before="220" w:after="80"/>
      <w:outlineLvl w:val="1"/>
    </w:pPr>
    <w:rPr>
      <w:b/>
      <w:bCs/>
      <w:color w:val="1F2E5C"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60"/>
      <w:outlineLvl w:val="2"/>
    </w:pPr>
    <w:rPr>
      <w:b/>
      <w:bCs/>
      <w:i/>
      <w:iCs/>
      <w:color w:val="B08D3C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938"/>
  </w:style>
  <w:style w:type="paragraph" w:styleId="Footer">
    <w:name w:val="footer"/>
    <w:basedOn w:val="Normal"/>
    <w:link w:val="FooterChar"/>
    <w:uiPriority w:val="99"/>
    <w:unhideWhenUsed/>
    <w:rsid w:val="00075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3025</Characters>
  <Application>Microsoft Office Word</Application>
  <DocSecurity>0</DocSecurity>
  <Lines>84</Lines>
  <Paragraphs>76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Patient Forms Package</dc:title>
  <dc:creator>West Coast Health Law Group</dc:creator>
  <cp:lastModifiedBy>Heather Danesh</cp:lastModifiedBy>
  <cp:revision>2</cp:revision>
  <cp:lastPrinted>2026-05-12T20:24:00Z</cp:lastPrinted>
  <dcterms:created xsi:type="dcterms:W3CDTF">2026-05-12T20:34:00Z</dcterms:created>
  <dcterms:modified xsi:type="dcterms:W3CDTF">2026-05-12T20:34:00Z</dcterms:modified>
</cp:coreProperties>
</file>