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50A7" w14:textId="77777777" w:rsidR="00780DC1" w:rsidRPr="000A3D5C" w:rsidRDefault="00362FE5" w:rsidP="000A3D5C">
      <w:pPr>
        <w:spacing w:line="240" w:lineRule="auto"/>
        <w:contextualSpacing/>
        <w:jc w:val="center"/>
        <w:rPr>
          <w:b/>
          <w:bCs/>
          <w:smallCaps/>
          <w:sz w:val="32"/>
          <w:szCs w:val="32"/>
        </w:rPr>
      </w:pPr>
      <w:r w:rsidRPr="000A3D5C">
        <w:rPr>
          <w:b/>
          <w:bCs/>
          <w:smallCaps/>
          <w:sz w:val="32"/>
          <w:szCs w:val="32"/>
        </w:rPr>
        <w:t xml:space="preserve">Employee </w:t>
      </w:r>
      <w:r w:rsidR="00780DC1" w:rsidRPr="000A3D5C">
        <w:rPr>
          <w:b/>
          <w:bCs/>
          <w:smallCaps/>
          <w:sz w:val="32"/>
          <w:szCs w:val="32"/>
        </w:rPr>
        <w:t>vs</w:t>
      </w:r>
      <w:r w:rsidRPr="000A3D5C">
        <w:rPr>
          <w:b/>
          <w:bCs/>
          <w:smallCaps/>
          <w:sz w:val="32"/>
          <w:szCs w:val="32"/>
        </w:rPr>
        <w:t xml:space="preserve"> </w:t>
      </w:r>
      <w:r w:rsidR="00704D87" w:rsidRPr="000A3D5C">
        <w:rPr>
          <w:b/>
          <w:bCs/>
          <w:smallCaps/>
          <w:sz w:val="32"/>
          <w:szCs w:val="32"/>
        </w:rPr>
        <w:t>Independent Contract</w:t>
      </w:r>
      <w:r w:rsidR="00441AA0" w:rsidRPr="000A3D5C">
        <w:rPr>
          <w:b/>
          <w:bCs/>
          <w:smallCaps/>
          <w:sz w:val="32"/>
          <w:szCs w:val="32"/>
        </w:rPr>
        <w:t>or</w:t>
      </w:r>
    </w:p>
    <w:p w14:paraId="575E6D44" w14:textId="611DCDEF" w:rsidR="00780DC1" w:rsidRDefault="00780DC1" w:rsidP="000A3D5C">
      <w:pPr>
        <w:spacing w:line="240" w:lineRule="auto"/>
        <w:contextualSpacing/>
        <w:jc w:val="center"/>
        <w:rPr>
          <w:b/>
          <w:bCs/>
          <w:smallCaps/>
          <w:sz w:val="32"/>
          <w:szCs w:val="32"/>
        </w:rPr>
      </w:pPr>
      <w:r w:rsidRPr="000A3D5C">
        <w:rPr>
          <w:b/>
          <w:bCs/>
          <w:smallCaps/>
          <w:sz w:val="32"/>
          <w:szCs w:val="32"/>
        </w:rPr>
        <w:t>Status Determination Worksheet</w:t>
      </w:r>
    </w:p>
    <w:p w14:paraId="4F72393E" w14:textId="59BD82F1" w:rsidR="00640A14" w:rsidRPr="00640A14" w:rsidRDefault="00CA40E9" w:rsidP="000A3D5C">
      <w:pPr>
        <w:spacing w:line="240" w:lineRule="auto"/>
        <w:contextualSpacing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HealthcareAttorney.Net</w:t>
      </w:r>
    </w:p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460"/>
        <w:gridCol w:w="3954"/>
        <w:gridCol w:w="4281"/>
        <w:gridCol w:w="1145"/>
        <w:gridCol w:w="952"/>
      </w:tblGrid>
      <w:tr w:rsidR="00780DC1" w14:paraId="3588AF8E" w14:textId="77777777" w:rsidTr="00436F1A">
        <w:tc>
          <w:tcPr>
            <w:tcW w:w="10792" w:type="dxa"/>
            <w:gridSpan w:val="5"/>
          </w:tcPr>
          <w:p w14:paraId="190A270C" w14:textId="72A7995D" w:rsidR="00780DC1" w:rsidRPr="000A3D5C" w:rsidRDefault="00780DC1" w:rsidP="00780DC1">
            <w:pPr>
              <w:pStyle w:val="PlainText"/>
              <w:contextualSpacing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0A3D5C">
              <w:rPr>
                <w:b/>
                <w:bCs/>
                <w:smallCaps/>
                <w:sz w:val="28"/>
                <w:szCs w:val="28"/>
              </w:rPr>
              <w:t>Relationship</w:t>
            </w:r>
            <w:r w:rsidR="00CA40E9">
              <w:rPr>
                <w:b/>
                <w:bCs/>
                <w:smallCaps/>
                <w:sz w:val="28"/>
                <w:szCs w:val="28"/>
              </w:rPr>
              <w:t xml:space="preserve"> Contract</w:t>
            </w:r>
            <w:r w:rsidRPr="000A3D5C">
              <w:rPr>
                <w:b/>
                <w:bCs/>
                <w:smallCaps/>
                <w:sz w:val="28"/>
                <w:szCs w:val="28"/>
              </w:rPr>
              <w:t xml:space="preserve"> Summary</w:t>
            </w:r>
          </w:p>
        </w:tc>
      </w:tr>
      <w:tr w:rsidR="00780DC1" w14:paraId="1A6F2AA5" w14:textId="77777777" w:rsidTr="00436F1A">
        <w:tc>
          <w:tcPr>
            <w:tcW w:w="4414" w:type="dxa"/>
            <w:gridSpan w:val="2"/>
          </w:tcPr>
          <w:p w14:paraId="700FD5FC" w14:textId="15AB7BED" w:rsidR="00780DC1" w:rsidRPr="00780DC1" w:rsidRDefault="00780DC1" w:rsidP="00362FE5">
            <w:pPr>
              <w:pStyle w:val="PlainText"/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80DC1">
              <w:rPr>
                <w:b/>
                <w:bCs/>
                <w:sz w:val="24"/>
                <w:szCs w:val="24"/>
                <w:u w:val="single"/>
              </w:rPr>
              <w:t>Employer Name:</w:t>
            </w:r>
          </w:p>
          <w:p w14:paraId="1A504D20" w14:textId="77777777" w:rsidR="00780DC1" w:rsidRDefault="00780DC1" w:rsidP="00362FE5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  <w:p w14:paraId="1C341822" w14:textId="2A911145" w:rsidR="00780DC1" w:rsidRDefault="00780DC1" w:rsidP="00362FE5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14:paraId="158E9823" w14:textId="60052D15" w:rsidR="00780DC1" w:rsidRPr="00780DC1" w:rsidRDefault="00780DC1" w:rsidP="00362FE5">
            <w:pPr>
              <w:pStyle w:val="PlainText"/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80DC1">
              <w:rPr>
                <w:b/>
                <w:bCs/>
                <w:sz w:val="24"/>
                <w:szCs w:val="24"/>
                <w:u w:val="single"/>
              </w:rPr>
              <w:t>Worker Name:</w:t>
            </w:r>
          </w:p>
        </w:tc>
      </w:tr>
      <w:tr w:rsidR="00780DC1" w14:paraId="597C37C6" w14:textId="77777777" w:rsidTr="00436F1A">
        <w:tc>
          <w:tcPr>
            <w:tcW w:w="4414" w:type="dxa"/>
            <w:gridSpan w:val="2"/>
          </w:tcPr>
          <w:p w14:paraId="35C3AAB3" w14:textId="2EBC7CF7" w:rsidR="00780DC1" w:rsidRPr="00780DC1" w:rsidRDefault="00780DC1" w:rsidP="00362FE5">
            <w:pPr>
              <w:pStyle w:val="PlainText"/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80DC1">
              <w:rPr>
                <w:b/>
                <w:bCs/>
                <w:sz w:val="24"/>
                <w:szCs w:val="24"/>
                <w:u w:val="single"/>
              </w:rPr>
              <w:t>Anticipated Begin Date:</w:t>
            </w:r>
          </w:p>
        </w:tc>
        <w:tc>
          <w:tcPr>
            <w:tcW w:w="6378" w:type="dxa"/>
            <w:gridSpan w:val="3"/>
          </w:tcPr>
          <w:p w14:paraId="2E7855B1" w14:textId="1D685AA0" w:rsidR="00780DC1" w:rsidRPr="00780DC1" w:rsidRDefault="00780DC1" w:rsidP="00362FE5">
            <w:pPr>
              <w:pStyle w:val="PlainText"/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80DC1">
              <w:rPr>
                <w:b/>
                <w:bCs/>
                <w:sz w:val="24"/>
                <w:szCs w:val="24"/>
                <w:u w:val="single"/>
              </w:rPr>
              <w:t>Anticipate</w:t>
            </w:r>
            <w:r w:rsidR="000A3D5C">
              <w:rPr>
                <w:b/>
                <w:bCs/>
                <w:sz w:val="24"/>
                <w:szCs w:val="24"/>
                <w:u w:val="single"/>
              </w:rPr>
              <w:t>d</w:t>
            </w:r>
            <w:r w:rsidRPr="00780DC1">
              <w:rPr>
                <w:b/>
                <w:bCs/>
                <w:sz w:val="24"/>
                <w:szCs w:val="24"/>
                <w:u w:val="single"/>
              </w:rPr>
              <w:t xml:space="preserve"> End Date:</w:t>
            </w:r>
          </w:p>
        </w:tc>
      </w:tr>
      <w:tr w:rsidR="00780DC1" w14:paraId="6CE777F4" w14:textId="77777777" w:rsidTr="00436F1A">
        <w:tc>
          <w:tcPr>
            <w:tcW w:w="10792" w:type="dxa"/>
            <w:gridSpan w:val="5"/>
          </w:tcPr>
          <w:p w14:paraId="45C9B13B" w14:textId="77777777" w:rsidR="00780DC1" w:rsidRPr="00780DC1" w:rsidRDefault="00780DC1" w:rsidP="00362FE5">
            <w:pPr>
              <w:pStyle w:val="PlainText"/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80DC1">
              <w:rPr>
                <w:b/>
                <w:bCs/>
                <w:sz w:val="24"/>
                <w:szCs w:val="24"/>
                <w:u w:val="single"/>
              </w:rPr>
              <w:t>Scope of the Work to be Performed:</w:t>
            </w:r>
          </w:p>
          <w:p w14:paraId="6B088374" w14:textId="77777777" w:rsidR="00780DC1" w:rsidRDefault="00780DC1" w:rsidP="00362FE5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  <w:p w14:paraId="49F591CE" w14:textId="65A0F5F4" w:rsidR="00780DC1" w:rsidRDefault="00780DC1" w:rsidP="00362FE5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80DC1" w14:paraId="4C7A9132" w14:textId="77777777" w:rsidTr="00436F1A">
        <w:tc>
          <w:tcPr>
            <w:tcW w:w="10792" w:type="dxa"/>
            <w:gridSpan w:val="5"/>
          </w:tcPr>
          <w:p w14:paraId="31BF6D4F" w14:textId="77777777" w:rsidR="00780DC1" w:rsidRPr="00780DC1" w:rsidRDefault="00780DC1" w:rsidP="00362FE5">
            <w:pPr>
              <w:pStyle w:val="PlainText"/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80DC1">
              <w:rPr>
                <w:b/>
                <w:bCs/>
                <w:sz w:val="24"/>
                <w:szCs w:val="24"/>
                <w:u w:val="single"/>
              </w:rPr>
              <w:t>Skills Needed to Perform the Job:</w:t>
            </w:r>
          </w:p>
          <w:p w14:paraId="06941C9D" w14:textId="77777777" w:rsidR="00780DC1" w:rsidRDefault="00780DC1" w:rsidP="00CA40E9">
            <w:pPr>
              <w:pStyle w:val="PlainText"/>
              <w:contextualSpacing/>
              <w:jc w:val="center"/>
              <w:rPr>
                <w:sz w:val="24"/>
                <w:szCs w:val="24"/>
              </w:rPr>
            </w:pPr>
          </w:p>
          <w:p w14:paraId="05C4082E" w14:textId="40A7F5F9" w:rsidR="00780DC1" w:rsidRDefault="00780DC1" w:rsidP="00362FE5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80DC1" w14:paraId="354A3A81" w14:textId="77777777" w:rsidTr="00436F1A">
        <w:tc>
          <w:tcPr>
            <w:tcW w:w="10792" w:type="dxa"/>
            <w:gridSpan w:val="5"/>
          </w:tcPr>
          <w:p w14:paraId="07BC6356" w14:textId="77777777" w:rsidR="00780DC1" w:rsidRPr="00780DC1" w:rsidRDefault="00780DC1" w:rsidP="00362FE5">
            <w:pPr>
              <w:pStyle w:val="PlainText"/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80DC1">
              <w:rPr>
                <w:b/>
                <w:bCs/>
                <w:sz w:val="24"/>
                <w:szCs w:val="24"/>
                <w:u w:val="single"/>
              </w:rPr>
              <w:t>Method of Compensation:</w:t>
            </w:r>
          </w:p>
          <w:p w14:paraId="13621848" w14:textId="7B1A6DA0" w:rsidR="00780DC1" w:rsidRDefault="00780DC1" w:rsidP="00362FE5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004D" w14:paraId="3A1C884E" w14:textId="77777777" w:rsidTr="009A0650">
        <w:tc>
          <w:tcPr>
            <w:tcW w:w="10792" w:type="dxa"/>
            <w:gridSpan w:val="5"/>
          </w:tcPr>
          <w:p w14:paraId="66432CDA" w14:textId="77777777" w:rsidR="0086004D" w:rsidRPr="0086004D" w:rsidRDefault="0086004D" w:rsidP="00441AA0">
            <w:pPr>
              <w:pStyle w:val="PlainText"/>
              <w:contextualSpacing/>
              <w:jc w:val="center"/>
              <w:rPr>
                <w:b/>
                <w:bCs/>
                <w:color w:val="8EAADB" w:themeColor="accent1" w:themeTint="99"/>
                <w:sz w:val="24"/>
                <w:szCs w:val="24"/>
              </w:rPr>
            </w:pPr>
          </w:p>
        </w:tc>
      </w:tr>
      <w:tr w:rsidR="00441AA0" w14:paraId="7B2C3B0A" w14:textId="77777777" w:rsidTr="00436F1A">
        <w:tc>
          <w:tcPr>
            <w:tcW w:w="460" w:type="dxa"/>
            <w:vMerge w:val="restart"/>
          </w:tcPr>
          <w:p w14:paraId="1423B19F" w14:textId="77777777" w:rsidR="00441AA0" w:rsidRPr="00441AA0" w:rsidRDefault="00441AA0" w:rsidP="00F51B89">
            <w:pPr>
              <w:pStyle w:val="PlainText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0C3B84C3" w14:textId="0C2F7838" w:rsidR="00441AA0" w:rsidRPr="00441AA0" w:rsidRDefault="00441AA0" w:rsidP="00F51B89">
            <w:pPr>
              <w:pStyle w:val="PlainTex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41AA0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235" w:type="dxa"/>
            <w:gridSpan w:val="2"/>
            <w:vMerge w:val="restart"/>
          </w:tcPr>
          <w:p w14:paraId="79B0BC29" w14:textId="77777777" w:rsidR="00441AA0" w:rsidRPr="00441AA0" w:rsidRDefault="00441AA0" w:rsidP="00F51B89">
            <w:pPr>
              <w:pStyle w:val="PlainText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6260DC91" w14:textId="65CCA30F" w:rsidR="00441AA0" w:rsidRPr="000A3D5C" w:rsidRDefault="000A3D5C" w:rsidP="000A3D5C">
            <w:pPr>
              <w:pStyle w:val="PlainText"/>
              <w:tabs>
                <w:tab w:val="center" w:pos="3891"/>
                <w:tab w:val="left" w:pos="5772"/>
              </w:tabs>
              <w:contextualSpacing/>
              <w:rPr>
                <w:b/>
                <w:bCs/>
                <w:smallCaps/>
                <w:sz w:val="28"/>
                <w:szCs w:val="28"/>
              </w:rPr>
            </w:pPr>
            <w:r w:rsidRPr="000A3D5C">
              <w:rPr>
                <w:b/>
                <w:bCs/>
                <w:smallCaps/>
                <w:sz w:val="28"/>
                <w:szCs w:val="28"/>
              </w:rPr>
              <w:tab/>
            </w:r>
            <w:r w:rsidR="000A3C8B">
              <w:rPr>
                <w:b/>
                <w:bCs/>
                <w:smallCaps/>
                <w:sz w:val="28"/>
                <w:szCs w:val="28"/>
              </w:rPr>
              <w:t xml:space="preserve">The IRS </w:t>
            </w:r>
            <w:r w:rsidRPr="000A3D5C">
              <w:rPr>
                <w:b/>
                <w:bCs/>
                <w:smallCaps/>
                <w:sz w:val="28"/>
                <w:szCs w:val="28"/>
              </w:rPr>
              <w:t>20</w:t>
            </w:r>
            <w:r w:rsidR="000A3C8B">
              <w:rPr>
                <w:b/>
                <w:bCs/>
                <w:smallCaps/>
                <w:sz w:val="28"/>
                <w:szCs w:val="28"/>
              </w:rPr>
              <w:t>-</w:t>
            </w:r>
            <w:r w:rsidRPr="000A3D5C">
              <w:rPr>
                <w:b/>
                <w:bCs/>
                <w:smallCaps/>
                <w:sz w:val="28"/>
                <w:szCs w:val="28"/>
              </w:rPr>
              <w:t xml:space="preserve">Point </w:t>
            </w:r>
            <w:r w:rsidR="00441AA0" w:rsidRPr="000A3D5C">
              <w:rPr>
                <w:b/>
                <w:bCs/>
                <w:smallCaps/>
                <w:sz w:val="28"/>
                <w:szCs w:val="28"/>
              </w:rPr>
              <w:t>Control Factor</w:t>
            </w:r>
            <w:r w:rsidR="000A3C8B">
              <w:rPr>
                <w:b/>
                <w:bCs/>
                <w:smallCaps/>
                <w:sz w:val="28"/>
                <w:szCs w:val="28"/>
              </w:rPr>
              <w:t xml:space="preserve"> Test</w:t>
            </w:r>
            <w:r w:rsidRPr="000A3D5C">
              <w:rPr>
                <w:b/>
                <w:bCs/>
                <w:smallCaps/>
                <w:sz w:val="28"/>
                <w:szCs w:val="28"/>
              </w:rPr>
              <w:tab/>
            </w:r>
          </w:p>
        </w:tc>
        <w:tc>
          <w:tcPr>
            <w:tcW w:w="2097" w:type="dxa"/>
            <w:gridSpan w:val="2"/>
          </w:tcPr>
          <w:p w14:paraId="012ECAF1" w14:textId="2742BAC0" w:rsidR="00441AA0" w:rsidRPr="00441AA0" w:rsidRDefault="00441AA0" w:rsidP="00441AA0">
            <w:pPr>
              <w:pStyle w:val="PlainTex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41AA0">
              <w:rPr>
                <w:b/>
                <w:bCs/>
                <w:sz w:val="24"/>
                <w:szCs w:val="24"/>
              </w:rPr>
              <w:t>Who Controls?</w:t>
            </w:r>
          </w:p>
        </w:tc>
      </w:tr>
      <w:tr w:rsidR="00436F1A" w14:paraId="7691480D" w14:textId="77777777" w:rsidTr="00436F1A">
        <w:tc>
          <w:tcPr>
            <w:tcW w:w="460" w:type="dxa"/>
            <w:vMerge/>
          </w:tcPr>
          <w:p w14:paraId="74C627E7" w14:textId="3D891F45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235" w:type="dxa"/>
            <w:gridSpan w:val="2"/>
            <w:vMerge/>
          </w:tcPr>
          <w:p w14:paraId="70F5B064" w14:textId="45466B2E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14:paraId="1C7CE6B0" w14:textId="0220272D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952" w:type="dxa"/>
          </w:tcPr>
          <w:p w14:paraId="7EAAB93D" w14:textId="0007F2D6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Worker</w:t>
            </w:r>
          </w:p>
        </w:tc>
      </w:tr>
      <w:tr w:rsidR="00780DC1" w14:paraId="68C7ECEA" w14:textId="77777777" w:rsidTr="00436F1A">
        <w:tc>
          <w:tcPr>
            <w:tcW w:w="10792" w:type="dxa"/>
            <w:gridSpan w:val="5"/>
          </w:tcPr>
          <w:p w14:paraId="6D36C246" w14:textId="77777777" w:rsidR="00780DC1" w:rsidRDefault="00780DC1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D3B05" w14:paraId="3953CE5C" w14:textId="77777777" w:rsidTr="00436F1A">
        <w:tc>
          <w:tcPr>
            <w:tcW w:w="10792" w:type="dxa"/>
            <w:gridSpan w:val="5"/>
          </w:tcPr>
          <w:p w14:paraId="619F5A30" w14:textId="15CB3DE1" w:rsidR="005D3B05" w:rsidRPr="005D3B05" w:rsidRDefault="005D3B05" w:rsidP="00F51B89">
            <w:pPr>
              <w:pStyle w:val="PlainTex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D3B05">
              <w:rPr>
                <w:b/>
                <w:bCs/>
                <w:sz w:val="24"/>
                <w:szCs w:val="24"/>
              </w:rPr>
              <w:t>Behavioral Control Factors</w:t>
            </w:r>
          </w:p>
        </w:tc>
      </w:tr>
      <w:tr w:rsidR="00436F1A" w14:paraId="1737EA68" w14:textId="77777777" w:rsidTr="00436F1A">
        <w:tc>
          <w:tcPr>
            <w:tcW w:w="460" w:type="dxa"/>
          </w:tcPr>
          <w:p w14:paraId="5F2080FA" w14:textId="4D3BAED5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5" w:type="dxa"/>
            <w:gridSpan w:val="2"/>
          </w:tcPr>
          <w:p w14:paraId="7D00E3B0" w14:textId="02EF3C70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Instructions</w:t>
            </w:r>
            <w:r>
              <w:rPr>
                <w:sz w:val="24"/>
                <w:szCs w:val="24"/>
              </w:rPr>
              <w:t xml:space="preserve"> – whether the worker must obey employer instructions about when how the job is to be performed.</w:t>
            </w:r>
          </w:p>
        </w:tc>
        <w:tc>
          <w:tcPr>
            <w:tcW w:w="1145" w:type="dxa"/>
          </w:tcPr>
          <w:p w14:paraId="262BD438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7A7936CA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76CB4618" w14:textId="77777777" w:rsidTr="00436F1A">
        <w:tc>
          <w:tcPr>
            <w:tcW w:w="460" w:type="dxa"/>
          </w:tcPr>
          <w:p w14:paraId="5728578B" w14:textId="5FB646C9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5" w:type="dxa"/>
            <w:gridSpan w:val="2"/>
          </w:tcPr>
          <w:p w14:paraId="41B35F70" w14:textId="57254DEA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Training</w:t>
            </w:r>
            <w:r>
              <w:rPr>
                <w:sz w:val="24"/>
                <w:szCs w:val="24"/>
              </w:rPr>
              <w:t xml:space="preserve"> – An employee receives training on how to perform the job; an Independent contractor comes fully trained.</w:t>
            </w:r>
          </w:p>
        </w:tc>
        <w:tc>
          <w:tcPr>
            <w:tcW w:w="1145" w:type="dxa"/>
          </w:tcPr>
          <w:p w14:paraId="196133C4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410BA525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76812C09" w14:textId="77777777" w:rsidTr="00436F1A">
        <w:tc>
          <w:tcPr>
            <w:tcW w:w="460" w:type="dxa"/>
          </w:tcPr>
          <w:p w14:paraId="6F4CF5C3" w14:textId="2EEE40D2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35" w:type="dxa"/>
            <w:gridSpan w:val="2"/>
          </w:tcPr>
          <w:p w14:paraId="767D1B2B" w14:textId="57E68F25" w:rsidR="00441AA0" w:rsidRDefault="00FC145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Services Rendered Personally</w:t>
            </w:r>
            <w:r>
              <w:rPr>
                <w:sz w:val="24"/>
                <w:szCs w:val="24"/>
              </w:rPr>
              <w:t xml:space="preserve"> – Does the employer require that the services be performed personally by the worker or can the worker delegate the task</w:t>
            </w:r>
          </w:p>
        </w:tc>
        <w:tc>
          <w:tcPr>
            <w:tcW w:w="1145" w:type="dxa"/>
          </w:tcPr>
          <w:p w14:paraId="38883F07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5DE6B380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328775EB" w14:textId="77777777" w:rsidTr="00436F1A">
        <w:tc>
          <w:tcPr>
            <w:tcW w:w="460" w:type="dxa"/>
          </w:tcPr>
          <w:p w14:paraId="54833CBF" w14:textId="430E67B7" w:rsidR="00441AA0" w:rsidRDefault="00FC145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35" w:type="dxa"/>
            <w:gridSpan w:val="2"/>
          </w:tcPr>
          <w:p w14:paraId="49BE3F62" w14:textId="19276DF5" w:rsidR="00441AA0" w:rsidRDefault="00FC145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Hiring, Supervising, and Paying Assistants</w:t>
            </w:r>
            <w:r>
              <w:rPr>
                <w:sz w:val="24"/>
                <w:szCs w:val="24"/>
              </w:rPr>
              <w:t xml:space="preserve"> – Who hires, </w:t>
            </w:r>
            <w:proofErr w:type="gramStart"/>
            <w:r>
              <w:rPr>
                <w:sz w:val="24"/>
                <w:szCs w:val="24"/>
              </w:rPr>
              <w:t>supervises</w:t>
            </w:r>
            <w:proofErr w:type="gramEnd"/>
            <w:r>
              <w:rPr>
                <w:sz w:val="24"/>
                <w:szCs w:val="24"/>
              </w:rPr>
              <w:t xml:space="preserve"> and pays the assistants that help the worker get the job done?  </w:t>
            </w:r>
          </w:p>
        </w:tc>
        <w:tc>
          <w:tcPr>
            <w:tcW w:w="1145" w:type="dxa"/>
          </w:tcPr>
          <w:p w14:paraId="22925DD5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642675F0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03F939AD" w14:textId="77777777" w:rsidTr="00436F1A">
        <w:tc>
          <w:tcPr>
            <w:tcW w:w="460" w:type="dxa"/>
          </w:tcPr>
          <w:p w14:paraId="11C38A45" w14:textId="18B2019C" w:rsidR="00441AA0" w:rsidRDefault="00FC145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35" w:type="dxa"/>
            <w:gridSpan w:val="2"/>
          </w:tcPr>
          <w:p w14:paraId="159C4100" w14:textId="500429FC" w:rsidR="00441AA0" w:rsidRDefault="00FC145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Continuing Relationship</w:t>
            </w:r>
            <w:r>
              <w:rPr>
                <w:sz w:val="24"/>
                <w:szCs w:val="24"/>
              </w:rPr>
              <w:t xml:space="preserve"> – is there a</w:t>
            </w:r>
            <w:r w:rsidR="00E856A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ongoing and continuous relationship between the worker and the employer (even if it is frequent but irregular intervals)</w:t>
            </w:r>
          </w:p>
        </w:tc>
        <w:tc>
          <w:tcPr>
            <w:tcW w:w="1145" w:type="dxa"/>
          </w:tcPr>
          <w:p w14:paraId="26765EDD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2622112A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288C9FA4" w14:textId="77777777" w:rsidTr="00436F1A">
        <w:tc>
          <w:tcPr>
            <w:tcW w:w="460" w:type="dxa"/>
          </w:tcPr>
          <w:p w14:paraId="173C1EA7" w14:textId="3DCF129F" w:rsidR="00441AA0" w:rsidRDefault="00FC145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35" w:type="dxa"/>
            <w:gridSpan w:val="2"/>
          </w:tcPr>
          <w:p w14:paraId="7870AA55" w14:textId="0D93C48F" w:rsidR="00441AA0" w:rsidRDefault="00FC145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Set Hours of Work</w:t>
            </w:r>
            <w:r>
              <w:rPr>
                <w:sz w:val="24"/>
                <w:szCs w:val="24"/>
              </w:rPr>
              <w:t xml:space="preserve"> – </w:t>
            </w:r>
            <w:r w:rsidR="00E856A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ndependent </w:t>
            </w:r>
            <w:r w:rsidR="00E856A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ontractors typically set their own </w:t>
            </w:r>
            <w:proofErr w:type="gramStart"/>
            <w:r>
              <w:rPr>
                <w:sz w:val="24"/>
                <w:szCs w:val="24"/>
              </w:rPr>
              <w:t>hours,</w:t>
            </w:r>
            <w:proofErr w:type="gramEnd"/>
            <w:r>
              <w:rPr>
                <w:sz w:val="24"/>
                <w:szCs w:val="24"/>
              </w:rPr>
              <w:t xml:space="preserve"> employees are given set hours to work.</w:t>
            </w:r>
          </w:p>
        </w:tc>
        <w:tc>
          <w:tcPr>
            <w:tcW w:w="1145" w:type="dxa"/>
          </w:tcPr>
          <w:p w14:paraId="15436B87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5680DC34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435F4882" w14:textId="77777777" w:rsidTr="00436F1A">
        <w:tc>
          <w:tcPr>
            <w:tcW w:w="460" w:type="dxa"/>
          </w:tcPr>
          <w:p w14:paraId="35D52DDF" w14:textId="7784EA6D" w:rsidR="00441AA0" w:rsidRDefault="00FC145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35" w:type="dxa"/>
            <w:gridSpan w:val="2"/>
          </w:tcPr>
          <w:p w14:paraId="4E4D8EF1" w14:textId="4161150C" w:rsidR="00441AA0" w:rsidRDefault="00FC145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Full Time Required</w:t>
            </w:r>
            <w:r>
              <w:rPr>
                <w:sz w:val="24"/>
                <w:szCs w:val="24"/>
              </w:rPr>
              <w:t xml:space="preserve"> </w:t>
            </w:r>
            <w:r w:rsidR="005D3B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D3B05">
              <w:rPr>
                <w:sz w:val="24"/>
                <w:szCs w:val="24"/>
              </w:rPr>
              <w:t>Does the worker have the freedom to accept or reject a job offered by the company?</w:t>
            </w:r>
            <w:r w:rsidR="00E856A9">
              <w:rPr>
                <w:sz w:val="24"/>
                <w:szCs w:val="24"/>
              </w:rPr>
              <w:t xml:space="preserve"> An independent contract is free to accept other jobs.</w:t>
            </w:r>
          </w:p>
        </w:tc>
        <w:tc>
          <w:tcPr>
            <w:tcW w:w="1145" w:type="dxa"/>
          </w:tcPr>
          <w:p w14:paraId="10717F9B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6D391ECB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073F3021" w14:textId="77777777" w:rsidTr="00436F1A">
        <w:tc>
          <w:tcPr>
            <w:tcW w:w="460" w:type="dxa"/>
          </w:tcPr>
          <w:p w14:paraId="396D7952" w14:textId="2A13DE12" w:rsidR="00441AA0" w:rsidRDefault="005D3B0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35" w:type="dxa"/>
            <w:gridSpan w:val="2"/>
          </w:tcPr>
          <w:p w14:paraId="37D40D51" w14:textId="78E855CC" w:rsidR="00441AA0" w:rsidRDefault="005D3B0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Place of Business</w:t>
            </w:r>
            <w:r>
              <w:rPr>
                <w:sz w:val="24"/>
                <w:szCs w:val="24"/>
              </w:rPr>
              <w:t xml:space="preserve"> – An independent contractor possesses his or her own place of business that is separate from the company’s.</w:t>
            </w:r>
          </w:p>
        </w:tc>
        <w:tc>
          <w:tcPr>
            <w:tcW w:w="1145" w:type="dxa"/>
          </w:tcPr>
          <w:p w14:paraId="5D0F9DB0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3B214ACB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2F638E48" w14:textId="77777777" w:rsidTr="00436F1A">
        <w:tc>
          <w:tcPr>
            <w:tcW w:w="460" w:type="dxa"/>
          </w:tcPr>
          <w:p w14:paraId="1E26286C" w14:textId="0625D294" w:rsidR="00441AA0" w:rsidRDefault="005D3B0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35" w:type="dxa"/>
            <w:gridSpan w:val="2"/>
          </w:tcPr>
          <w:p w14:paraId="38E9872F" w14:textId="446B2278" w:rsidR="00441AA0" w:rsidRDefault="005D3B0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Order or Sequence Set</w:t>
            </w:r>
            <w:r>
              <w:rPr>
                <w:sz w:val="24"/>
                <w:szCs w:val="24"/>
              </w:rPr>
              <w:t xml:space="preserve"> – who prioritizes the work or the sequencing of the work to be performed?</w:t>
            </w:r>
          </w:p>
        </w:tc>
        <w:tc>
          <w:tcPr>
            <w:tcW w:w="1145" w:type="dxa"/>
          </w:tcPr>
          <w:p w14:paraId="71F3E8A4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3530E23A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19364318" w14:textId="77777777" w:rsidTr="00436F1A">
        <w:tc>
          <w:tcPr>
            <w:tcW w:w="460" w:type="dxa"/>
          </w:tcPr>
          <w:p w14:paraId="3DAC735B" w14:textId="372C46BD" w:rsidR="00441AA0" w:rsidRDefault="005D3B0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35" w:type="dxa"/>
            <w:gridSpan w:val="2"/>
          </w:tcPr>
          <w:p w14:paraId="1BD233A4" w14:textId="7506C4FB" w:rsidR="00441AA0" w:rsidRDefault="005D3B05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Reporting</w:t>
            </w:r>
            <w:r w:rsidR="00616368" w:rsidRPr="00E856A9">
              <w:rPr>
                <w:sz w:val="24"/>
                <w:szCs w:val="24"/>
                <w:u w:val="single"/>
              </w:rPr>
              <w:t xml:space="preserve"> to Employer</w:t>
            </w:r>
            <w:r>
              <w:rPr>
                <w:sz w:val="24"/>
                <w:szCs w:val="24"/>
              </w:rPr>
              <w:t xml:space="preserve"> – Employees are </w:t>
            </w:r>
            <w:r w:rsidR="00436F1A">
              <w:rPr>
                <w:sz w:val="24"/>
                <w:szCs w:val="24"/>
              </w:rPr>
              <w:t>usually</w:t>
            </w:r>
            <w:r>
              <w:rPr>
                <w:sz w:val="24"/>
                <w:szCs w:val="24"/>
              </w:rPr>
              <w:t xml:space="preserve"> required to report to the employer</w:t>
            </w:r>
            <w:r w:rsidR="00436F1A">
              <w:rPr>
                <w:sz w:val="24"/>
                <w:szCs w:val="24"/>
              </w:rPr>
              <w:t xml:space="preserve"> daily;</w:t>
            </w:r>
            <w:r>
              <w:rPr>
                <w:sz w:val="24"/>
                <w:szCs w:val="24"/>
              </w:rPr>
              <w:t xml:space="preserve"> who controls the manner and tempo of the reporting?</w:t>
            </w:r>
          </w:p>
        </w:tc>
        <w:tc>
          <w:tcPr>
            <w:tcW w:w="1145" w:type="dxa"/>
          </w:tcPr>
          <w:p w14:paraId="6A13DC4A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16F6E830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24C8BE05" w14:textId="77777777" w:rsidTr="00886FB2">
        <w:tc>
          <w:tcPr>
            <w:tcW w:w="10792" w:type="dxa"/>
            <w:gridSpan w:val="5"/>
          </w:tcPr>
          <w:p w14:paraId="2DDA24F6" w14:textId="77777777" w:rsidR="00436F1A" w:rsidRDefault="00436F1A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6368" w14:paraId="2D33018A" w14:textId="77777777" w:rsidTr="00436F1A">
        <w:tc>
          <w:tcPr>
            <w:tcW w:w="10792" w:type="dxa"/>
            <w:gridSpan w:val="5"/>
          </w:tcPr>
          <w:p w14:paraId="5C907706" w14:textId="7A5E34E1" w:rsidR="00616368" w:rsidRPr="00616368" w:rsidRDefault="00616368" w:rsidP="00F51B89">
            <w:pPr>
              <w:pStyle w:val="PlainTex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16368">
              <w:rPr>
                <w:b/>
                <w:bCs/>
                <w:sz w:val="24"/>
                <w:szCs w:val="24"/>
              </w:rPr>
              <w:t>Financial Control Factors</w:t>
            </w:r>
          </w:p>
        </w:tc>
      </w:tr>
      <w:tr w:rsidR="00436F1A" w14:paraId="230CC17F" w14:textId="77777777" w:rsidTr="00436F1A">
        <w:tc>
          <w:tcPr>
            <w:tcW w:w="460" w:type="dxa"/>
          </w:tcPr>
          <w:p w14:paraId="18CED53D" w14:textId="117CC7AA" w:rsidR="00441AA0" w:rsidRDefault="00616368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35" w:type="dxa"/>
            <w:gridSpan w:val="2"/>
          </w:tcPr>
          <w:p w14:paraId="51D75149" w14:textId="49CF8379" w:rsidR="00441AA0" w:rsidRDefault="00616368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Method of Payment</w:t>
            </w:r>
            <w:r>
              <w:rPr>
                <w:sz w:val="24"/>
                <w:szCs w:val="24"/>
              </w:rPr>
              <w:t xml:space="preserve"> – Employees get paid hourly, daily or weekly at the same rate/intervals; Independent Contractors get paid by aspects of the job or total project.</w:t>
            </w:r>
          </w:p>
        </w:tc>
        <w:tc>
          <w:tcPr>
            <w:tcW w:w="1145" w:type="dxa"/>
          </w:tcPr>
          <w:p w14:paraId="4C564C57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25BB71E2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3B3D3E6C" w14:textId="77777777" w:rsidTr="00436F1A">
        <w:tc>
          <w:tcPr>
            <w:tcW w:w="460" w:type="dxa"/>
          </w:tcPr>
          <w:p w14:paraId="3B67E92C" w14:textId="73CAB873" w:rsidR="00441AA0" w:rsidRDefault="00616368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235" w:type="dxa"/>
            <w:gridSpan w:val="2"/>
          </w:tcPr>
          <w:p w14:paraId="1C691421" w14:textId="1BD32DF1" w:rsidR="00441AA0" w:rsidRDefault="00616368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Business Expenses</w:t>
            </w:r>
            <w:r>
              <w:rPr>
                <w:sz w:val="24"/>
                <w:szCs w:val="24"/>
              </w:rPr>
              <w:t xml:space="preserve"> – Independent Contractors typically pay for their own expenses, including travel; while Employers typically reimburse Employees.</w:t>
            </w:r>
          </w:p>
        </w:tc>
        <w:tc>
          <w:tcPr>
            <w:tcW w:w="1145" w:type="dxa"/>
          </w:tcPr>
          <w:p w14:paraId="0635F2FC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5EB75B7A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06AED668" w14:textId="77777777" w:rsidTr="00436F1A">
        <w:tc>
          <w:tcPr>
            <w:tcW w:w="460" w:type="dxa"/>
          </w:tcPr>
          <w:p w14:paraId="37908CAD" w14:textId="0E4766AF" w:rsidR="00441AA0" w:rsidRDefault="00616368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35" w:type="dxa"/>
            <w:gridSpan w:val="2"/>
          </w:tcPr>
          <w:p w14:paraId="3F71A1B7" w14:textId="00A1B693" w:rsidR="00441AA0" w:rsidRDefault="00616368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Furnishing of Tools and Materials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  Who</w:t>
            </w:r>
            <w:proofErr w:type="gramEnd"/>
            <w:r>
              <w:rPr>
                <w:sz w:val="24"/>
                <w:szCs w:val="24"/>
              </w:rPr>
              <w:t xml:space="preserve"> pays for the tools, materials, office and other equipment?</w:t>
            </w:r>
          </w:p>
        </w:tc>
        <w:tc>
          <w:tcPr>
            <w:tcW w:w="1145" w:type="dxa"/>
          </w:tcPr>
          <w:p w14:paraId="0555AD4B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42E5D87C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468553A1" w14:textId="77777777" w:rsidTr="00436F1A">
        <w:tc>
          <w:tcPr>
            <w:tcW w:w="460" w:type="dxa"/>
          </w:tcPr>
          <w:p w14:paraId="7C640096" w14:textId="1C17FB2B" w:rsidR="00441AA0" w:rsidRDefault="00616368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35" w:type="dxa"/>
            <w:gridSpan w:val="2"/>
          </w:tcPr>
          <w:p w14:paraId="23776C29" w14:textId="75A50F42" w:rsidR="00441AA0" w:rsidRDefault="00616368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Significant Investment</w:t>
            </w:r>
            <w:r>
              <w:rPr>
                <w:sz w:val="24"/>
                <w:szCs w:val="24"/>
              </w:rPr>
              <w:t xml:space="preserve"> – The larger the worker’s own investment into his or her business, the more likely they are to be an independent contractor.</w:t>
            </w:r>
          </w:p>
        </w:tc>
        <w:tc>
          <w:tcPr>
            <w:tcW w:w="1145" w:type="dxa"/>
          </w:tcPr>
          <w:p w14:paraId="377D2980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57ADEDB6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1640A684" w14:textId="77777777" w:rsidTr="00436F1A">
        <w:tc>
          <w:tcPr>
            <w:tcW w:w="460" w:type="dxa"/>
          </w:tcPr>
          <w:p w14:paraId="03E632A4" w14:textId="409297F1" w:rsidR="00441AA0" w:rsidRDefault="00616368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35" w:type="dxa"/>
            <w:gridSpan w:val="2"/>
          </w:tcPr>
          <w:p w14:paraId="31316750" w14:textId="036766C7" w:rsidR="00441AA0" w:rsidRDefault="0064794E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Realization of Profit or Loss</w:t>
            </w:r>
            <w:r>
              <w:rPr>
                <w:sz w:val="24"/>
                <w:szCs w:val="24"/>
              </w:rPr>
              <w:t xml:space="preserve"> – An employee typically bears no liability for business </w:t>
            </w:r>
            <w:proofErr w:type="gramStart"/>
            <w:r>
              <w:rPr>
                <w:sz w:val="24"/>
                <w:szCs w:val="24"/>
              </w:rPr>
              <w:t>expenses;</w:t>
            </w:r>
            <w:proofErr w:type="gramEnd"/>
            <w:r>
              <w:rPr>
                <w:sz w:val="24"/>
                <w:szCs w:val="24"/>
              </w:rPr>
              <w:t xml:space="preserve"> while an independent contractor is capable of realizing a profit as well as suffering a loss. </w:t>
            </w:r>
          </w:p>
        </w:tc>
        <w:tc>
          <w:tcPr>
            <w:tcW w:w="1145" w:type="dxa"/>
          </w:tcPr>
          <w:p w14:paraId="4F554892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15CDE115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3637FC83" w14:textId="77777777" w:rsidTr="00082D72">
        <w:tc>
          <w:tcPr>
            <w:tcW w:w="10792" w:type="dxa"/>
            <w:gridSpan w:val="5"/>
          </w:tcPr>
          <w:p w14:paraId="4BEBF58D" w14:textId="77777777" w:rsidR="00436F1A" w:rsidRDefault="00436F1A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4794E" w14:paraId="4191A142" w14:textId="77777777" w:rsidTr="00436F1A">
        <w:tc>
          <w:tcPr>
            <w:tcW w:w="10792" w:type="dxa"/>
            <w:gridSpan w:val="5"/>
          </w:tcPr>
          <w:p w14:paraId="1C3893FA" w14:textId="6BED3F53" w:rsidR="0064794E" w:rsidRPr="0064794E" w:rsidRDefault="0064794E" w:rsidP="00F51B89">
            <w:pPr>
              <w:pStyle w:val="PlainText"/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64794E">
              <w:rPr>
                <w:b/>
                <w:bCs/>
                <w:sz w:val="24"/>
                <w:szCs w:val="24"/>
              </w:rPr>
              <w:t xml:space="preserve">Relationship </w:t>
            </w:r>
            <w:r w:rsidR="00407353">
              <w:rPr>
                <w:b/>
                <w:bCs/>
                <w:sz w:val="24"/>
                <w:szCs w:val="24"/>
              </w:rPr>
              <w:t xml:space="preserve"> Control</w:t>
            </w:r>
            <w:proofErr w:type="gramEnd"/>
            <w:r w:rsidR="00407353">
              <w:rPr>
                <w:b/>
                <w:bCs/>
                <w:sz w:val="24"/>
                <w:szCs w:val="24"/>
              </w:rPr>
              <w:t xml:space="preserve"> </w:t>
            </w:r>
            <w:r w:rsidRPr="0064794E">
              <w:rPr>
                <w:b/>
                <w:bCs/>
                <w:sz w:val="24"/>
                <w:szCs w:val="24"/>
              </w:rPr>
              <w:t>Factors</w:t>
            </w:r>
          </w:p>
        </w:tc>
      </w:tr>
      <w:tr w:rsidR="00436F1A" w14:paraId="4293D34F" w14:textId="77777777" w:rsidTr="00436F1A">
        <w:tc>
          <w:tcPr>
            <w:tcW w:w="460" w:type="dxa"/>
          </w:tcPr>
          <w:p w14:paraId="0AE426BD" w14:textId="52B78E16" w:rsidR="00441AA0" w:rsidRDefault="0064794E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35" w:type="dxa"/>
            <w:gridSpan w:val="2"/>
          </w:tcPr>
          <w:p w14:paraId="6DAED841" w14:textId="07CBFE72" w:rsidR="00441AA0" w:rsidRDefault="00407353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Non-Exclusive Employment</w:t>
            </w:r>
            <w:r>
              <w:rPr>
                <w:sz w:val="24"/>
                <w:szCs w:val="24"/>
              </w:rPr>
              <w:t xml:space="preserve"> – Does the worker perform the service for multiple unrelated business entities, or is the worker under the control of the employer?</w:t>
            </w:r>
          </w:p>
        </w:tc>
        <w:tc>
          <w:tcPr>
            <w:tcW w:w="1145" w:type="dxa"/>
          </w:tcPr>
          <w:p w14:paraId="67AB2D46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2CF4B36B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2033B558" w14:textId="77777777" w:rsidTr="00436F1A">
        <w:tc>
          <w:tcPr>
            <w:tcW w:w="460" w:type="dxa"/>
          </w:tcPr>
          <w:p w14:paraId="3C1E4375" w14:textId="1B74BFC7" w:rsidR="00441AA0" w:rsidRDefault="0064794E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35" w:type="dxa"/>
            <w:gridSpan w:val="2"/>
          </w:tcPr>
          <w:p w14:paraId="700EBD76" w14:textId="4ACB7F9D" w:rsidR="00441AA0" w:rsidRDefault="00407353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Services Offered to the General Public</w:t>
            </w:r>
            <w:r>
              <w:rPr>
                <w:sz w:val="24"/>
                <w:szCs w:val="24"/>
              </w:rPr>
              <w:t xml:space="preserve"> – Does the worker hold themselves out or advertise to the </w:t>
            </w:r>
            <w:proofErr w:type="gramStart"/>
            <w:r>
              <w:rPr>
                <w:sz w:val="24"/>
                <w:szCs w:val="24"/>
              </w:rPr>
              <w:t>general public</w:t>
            </w:r>
            <w:proofErr w:type="gramEnd"/>
            <w:r>
              <w:rPr>
                <w:sz w:val="24"/>
                <w:szCs w:val="24"/>
              </w:rPr>
              <w:t xml:space="preserve"> as a service provider?</w:t>
            </w:r>
          </w:p>
        </w:tc>
        <w:tc>
          <w:tcPr>
            <w:tcW w:w="1145" w:type="dxa"/>
          </w:tcPr>
          <w:p w14:paraId="00874F88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6202CB07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4071CEF8" w14:textId="77777777" w:rsidTr="00436F1A">
        <w:tc>
          <w:tcPr>
            <w:tcW w:w="460" w:type="dxa"/>
          </w:tcPr>
          <w:p w14:paraId="19563760" w14:textId="5C2369B5" w:rsidR="00441AA0" w:rsidRDefault="0064794E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35" w:type="dxa"/>
            <w:gridSpan w:val="2"/>
          </w:tcPr>
          <w:p w14:paraId="1B9721D6" w14:textId="13331E8A" w:rsidR="00441AA0" w:rsidRDefault="00407353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Integration vs Incidental to Operations</w:t>
            </w:r>
            <w:r>
              <w:rPr>
                <w:sz w:val="24"/>
                <w:szCs w:val="24"/>
              </w:rPr>
              <w:t xml:space="preserve"> – An employee performs services that are integral to the operations of the employer; while an independent contractor performs services that are incidental to the employer.</w:t>
            </w:r>
          </w:p>
        </w:tc>
        <w:tc>
          <w:tcPr>
            <w:tcW w:w="1145" w:type="dxa"/>
          </w:tcPr>
          <w:p w14:paraId="0FF9DEEB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7FE99E7B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1CD0198D" w14:textId="77777777" w:rsidTr="00436F1A">
        <w:tc>
          <w:tcPr>
            <w:tcW w:w="460" w:type="dxa"/>
          </w:tcPr>
          <w:p w14:paraId="691DC45A" w14:textId="07C1F3A7" w:rsidR="00441AA0" w:rsidRDefault="00407353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35" w:type="dxa"/>
            <w:gridSpan w:val="2"/>
          </w:tcPr>
          <w:p w14:paraId="36029CBE" w14:textId="712EFC20" w:rsidR="00441AA0" w:rsidRDefault="00407353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Right to Discharge</w:t>
            </w:r>
            <w:r>
              <w:rPr>
                <w:sz w:val="24"/>
                <w:szCs w:val="24"/>
              </w:rPr>
              <w:t xml:space="preserve"> – While an employer may fire an employee; independent contractors typically have a notice requirement prior to termination of the contract.</w:t>
            </w:r>
          </w:p>
        </w:tc>
        <w:tc>
          <w:tcPr>
            <w:tcW w:w="1145" w:type="dxa"/>
          </w:tcPr>
          <w:p w14:paraId="1D43FC05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5427FADF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599D0759" w14:textId="77777777" w:rsidTr="00436F1A">
        <w:tc>
          <w:tcPr>
            <w:tcW w:w="460" w:type="dxa"/>
          </w:tcPr>
          <w:p w14:paraId="7670F635" w14:textId="27254CCC" w:rsidR="00441AA0" w:rsidRDefault="00407353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35" w:type="dxa"/>
            <w:gridSpan w:val="2"/>
          </w:tcPr>
          <w:p w14:paraId="66A2541A" w14:textId="66903294" w:rsidR="00441AA0" w:rsidRDefault="00407353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  <w:r w:rsidRPr="00E856A9">
              <w:rPr>
                <w:sz w:val="24"/>
                <w:szCs w:val="24"/>
                <w:u w:val="single"/>
              </w:rPr>
              <w:t>Right to Terminate</w:t>
            </w:r>
            <w:r>
              <w:rPr>
                <w:sz w:val="24"/>
                <w:szCs w:val="24"/>
              </w:rPr>
              <w:t xml:space="preserve"> – While an employee can quit their at-will employment at any time; an independent contractor typically cannot simply walk away without breaching an agreement. </w:t>
            </w:r>
          </w:p>
        </w:tc>
        <w:tc>
          <w:tcPr>
            <w:tcW w:w="1145" w:type="dxa"/>
          </w:tcPr>
          <w:p w14:paraId="7C81453B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0649D5D5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36F1A" w14:paraId="57AC3349" w14:textId="77777777" w:rsidTr="00436F1A">
        <w:tc>
          <w:tcPr>
            <w:tcW w:w="460" w:type="dxa"/>
          </w:tcPr>
          <w:p w14:paraId="782FB94B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235" w:type="dxa"/>
            <w:gridSpan w:val="2"/>
          </w:tcPr>
          <w:p w14:paraId="59E47BE3" w14:textId="4304C737" w:rsidR="00441AA0" w:rsidRPr="00436F1A" w:rsidRDefault="00436F1A" w:rsidP="00436F1A">
            <w:pPr>
              <w:pStyle w:val="PlainText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436F1A">
              <w:rPr>
                <w:b/>
                <w:bCs/>
                <w:sz w:val="24"/>
                <w:szCs w:val="24"/>
              </w:rPr>
              <w:t>Tally (Count the Check Marks)</w:t>
            </w:r>
          </w:p>
        </w:tc>
        <w:tc>
          <w:tcPr>
            <w:tcW w:w="1145" w:type="dxa"/>
          </w:tcPr>
          <w:p w14:paraId="2D71A73B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7C294E42" w14:textId="77777777" w:rsidR="00441AA0" w:rsidRDefault="00441AA0" w:rsidP="00F51B89">
            <w:pPr>
              <w:pStyle w:val="PlainTex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FDB8FA6" w14:textId="77777777" w:rsidR="00362FE5" w:rsidRDefault="00362FE5" w:rsidP="00F51B89">
      <w:pPr>
        <w:pStyle w:val="PlainText"/>
        <w:contextualSpacing/>
        <w:jc w:val="both"/>
        <w:rPr>
          <w:sz w:val="24"/>
          <w:szCs w:val="24"/>
        </w:rPr>
      </w:pPr>
    </w:p>
    <w:p w14:paraId="762F6F0A" w14:textId="01A0604E" w:rsidR="008D708B" w:rsidRDefault="003030DF" w:rsidP="00436F1A">
      <w:pPr>
        <w:pStyle w:val="PlainTex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While there is no exact formula to arriving at a conclusion </w:t>
      </w:r>
      <w:r w:rsidR="00780DC1">
        <w:rPr>
          <w:sz w:val="24"/>
          <w:szCs w:val="24"/>
        </w:rPr>
        <w:t xml:space="preserve">of employee vs independent contractor status; the awareness and the exercise of going through these factors will be helpful at making that conclusion.  </w:t>
      </w:r>
      <w:r w:rsidR="008D708B" w:rsidRPr="008A55E4">
        <w:rPr>
          <w:sz w:val="24"/>
          <w:szCs w:val="24"/>
        </w:rPr>
        <w:t xml:space="preserve">If you have </w:t>
      </w:r>
      <w:r w:rsidR="0070772B">
        <w:rPr>
          <w:sz w:val="24"/>
          <w:szCs w:val="24"/>
        </w:rPr>
        <w:t>a</w:t>
      </w:r>
      <w:r w:rsidR="008D708B" w:rsidRPr="008A55E4">
        <w:rPr>
          <w:sz w:val="24"/>
          <w:szCs w:val="24"/>
        </w:rPr>
        <w:t xml:space="preserve"> unique situation</w:t>
      </w:r>
      <w:r w:rsidR="0070772B">
        <w:rPr>
          <w:sz w:val="24"/>
          <w:szCs w:val="24"/>
        </w:rPr>
        <w:t xml:space="preserve"> that you would like to talk through</w:t>
      </w:r>
      <w:r w:rsidR="008D708B" w:rsidRPr="008A55E4">
        <w:rPr>
          <w:sz w:val="24"/>
          <w:szCs w:val="24"/>
        </w:rPr>
        <w:t>, call</w:t>
      </w:r>
      <w:r w:rsidR="0070772B">
        <w:rPr>
          <w:sz w:val="24"/>
          <w:szCs w:val="24"/>
        </w:rPr>
        <w:t xml:space="preserve"> or </w:t>
      </w:r>
      <w:r w:rsidR="008D708B" w:rsidRPr="008A55E4">
        <w:rPr>
          <w:sz w:val="24"/>
          <w:szCs w:val="24"/>
        </w:rPr>
        <w:t>text me for a free consult</w:t>
      </w:r>
      <w:r w:rsidR="00061C65">
        <w:rPr>
          <w:sz w:val="24"/>
          <w:szCs w:val="24"/>
        </w:rPr>
        <w:t xml:space="preserve"> at (954)445-5503</w:t>
      </w:r>
      <w:r w:rsidR="008D708B" w:rsidRPr="008A55E4">
        <w:rPr>
          <w:sz w:val="24"/>
          <w:szCs w:val="24"/>
        </w:rPr>
        <w:t xml:space="preserve">. </w:t>
      </w:r>
    </w:p>
    <w:p w14:paraId="2F869F82" w14:textId="77777777" w:rsidR="00436F1A" w:rsidRDefault="00436F1A" w:rsidP="00F51B89">
      <w:pPr>
        <w:pStyle w:val="E-mailSignature"/>
        <w:contextualSpacing/>
      </w:pPr>
    </w:p>
    <w:p w14:paraId="504BE6F8" w14:textId="295B52DD" w:rsidR="00340844" w:rsidRDefault="00340844" w:rsidP="00F51B89">
      <w:pPr>
        <w:pStyle w:val="E-mailSignature"/>
        <w:contextualSpacing/>
      </w:pPr>
      <w:r>
        <w:t>Ben Assad Mirza, Esq., LLM, CPA, MPHA, CHC</w:t>
      </w:r>
    </w:p>
    <w:p w14:paraId="0AE8922A" w14:textId="77777777" w:rsidR="00340844" w:rsidRDefault="00340844" w:rsidP="00F51B89">
      <w:pPr>
        <w:pStyle w:val="E-mailSignature"/>
        <w:contextualSpacing/>
      </w:pPr>
      <w:r>
        <w:t>Healthcare Law Partners, LLC</w:t>
      </w:r>
    </w:p>
    <w:p w14:paraId="173C061D" w14:textId="77777777" w:rsidR="00340844" w:rsidRDefault="00340844" w:rsidP="00F51B89">
      <w:pPr>
        <w:pStyle w:val="E-mailSignature"/>
        <w:contextualSpacing/>
      </w:pPr>
      <w:r>
        <w:t xml:space="preserve">401 East Las </w:t>
      </w:r>
      <w:proofErr w:type="spellStart"/>
      <w:r>
        <w:t>Olas</w:t>
      </w:r>
      <w:proofErr w:type="spellEnd"/>
      <w:r>
        <w:t xml:space="preserve"> Blvd., Suite 1400</w:t>
      </w:r>
    </w:p>
    <w:p w14:paraId="74C34A7E" w14:textId="77777777" w:rsidR="00340844" w:rsidRDefault="00340844" w:rsidP="00F51B89">
      <w:pPr>
        <w:pStyle w:val="E-mailSignature"/>
        <w:contextualSpacing/>
      </w:pPr>
      <w:r>
        <w:t>Fort Lauderdale, Florida 33301</w:t>
      </w:r>
    </w:p>
    <w:p w14:paraId="030DBA50" w14:textId="77777777" w:rsidR="00340844" w:rsidRDefault="00340844" w:rsidP="00F51B89">
      <w:pPr>
        <w:pStyle w:val="E-mailSignature"/>
        <w:contextualSpacing/>
      </w:pPr>
      <w:r>
        <w:t>Cell/Text: (954)445-5503 (Primary)</w:t>
      </w:r>
    </w:p>
    <w:p w14:paraId="40B15053" w14:textId="77777777" w:rsidR="00340844" w:rsidRDefault="00340844" w:rsidP="00F51B89">
      <w:pPr>
        <w:pStyle w:val="E-mailSignature"/>
        <w:contextualSpacing/>
      </w:pPr>
      <w:r>
        <w:t>Office: (954)634-2370 (Secondary)</w:t>
      </w:r>
    </w:p>
    <w:p w14:paraId="6D636202" w14:textId="77777777" w:rsidR="00340844" w:rsidRDefault="0086004D" w:rsidP="00F51B89">
      <w:pPr>
        <w:pStyle w:val="E-mailSignature"/>
        <w:contextualSpacing/>
      </w:pPr>
      <w:hyperlink r:id="rId5" w:history="1">
        <w:r w:rsidR="00340844">
          <w:rPr>
            <w:rStyle w:val="Hyperlink"/>
          </w:rPr>
          <w:t>Ben@HealthcareAttorney.Net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5858"/>
        <w:gridCol w:w="2465"/>
      </w:tblGrid>
      <w:tr w:rsidR="004B4B65" w14:paraId="6FF133D0" w14:textId="77777777" w:rsidTr="008A55E4">
        <w:trPr>
          <w:trHeight w:val="2258"/>
        </w:trPr>
        <w:tc>
          <w:tcPr>
            <w:tcW w:w="2467" w:type="dxa"/>
          </w:tcPr>
          <w:p w14:paraId="432C31A8" w14:textId="3303FAC1" w:rsidR="00340844" w:rsidRDefault="00340844" w:rsidP="00F179F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BCB5A3" wp14:editId="60080FFD">
                  <wp:extent cx="1404851" cy="136779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35" cy="1446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</w:tcPr>
          <w:p w14:paraId="1B85714B" w14:textId="77777777" w:rsidR="00340844" w:rsidRDefault="00340844" w:rsidP="00F179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C3A68B" wp14:editId="3D948F62">
                  <wp:extent cx="3536950" cy="1368309"/>
                  <wp:effectExtent l="0" t="0" r="635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401" cy="142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9E050" w14:textId="054BBB31" w:rsidR="00340844" w:rsidRPr="00340844" w:rsidRDefault="00340844" w:rsidP="00340844"/>
        </w:tc>
        <w:tc>
          <w:tcPr>
            <w:tcW w:w="2465" w:type="dxa"/>
          </w:tcPr>
          <w:p w14:paraId="15459FE0" w14:textId="524BB77C" w:rsidR="00340844" w:rsidRDefault="00945D26" w:rsidP="00C66771">
            <w:pPr>
              <w:jc w:val="both"/>
            </w:pPr>
            <w:r>
              <w:object w:dxaOrig="1520" w:dyaOrig="987" w14:anchorId="3AB77A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0.2pt;height:64.8pt" o:ole="">
                  <v:imagedata r:id="rId8" o:title=""/>
                </v:shape>
                <o:OLEObject Type="Embed" ProgID="Package" ShapeID="_x0000_i1027" DrawAspect="Icon" ObjectID="_1650859137" r:id="rId9"/>
              </w:object>
            </w:r>
          </w:p>
          <w:p w14:paraId="0B9F0E38" w14:textId="3B8BFE8B" w:rsidR="00340844" w:rsidRPr="00340844" w:rsidRDefault="00340844" w:rsidP="00C66771">
            <w:pPr>
              <w:jc w:val="both"/>
            </w:pPr>
            <w:r>
              <w:t>Click the above</w:t>
            </w:r>
            <w:r w:rsidR="00F179FD">
              <w:t xml:space="preserve"> to retain contact </w:t>
            </w:r>
            <w:r>
              <w:t>in Outlook</w:t>
            </w:r>
            <w:r w:rsidR="00F179FD">
              <w:t>.</w:t>
            </w:r>
          </w:p>
        </w:tc>
      </w:tr>
    </w:tbl>
    <w:p w14:paraId="5B0FC014" w14:textId="220695E5" w:rsidR="0006336F" w:rsidRDefault="0006336F" w:rsidP="00436F1A">
      <w:pPr>
        <w:rPr>
          <w:b/>
          <w:bCs/>
          <w:sz w:val="28"/>
          <w:szCs w:val="28"/>
        </w:rPr>
      </w:pPr>
    </w:p>
    <w:sectPr w:rsidR="0006336F" w:rsidSect="004B4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438A9"/>
    <w:multiLevelType w:val="hybridMultilevel"/>
    <w:tmpl w:val="F6BE9B56"/>
    <w:lvl w:ilvl="0" w:tplc="48986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96ADD"/>
    <w:multiLevelType w:val="multilevel"/>
    <w:tmpl w:val="002E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07556"/>
    <w:multiLevelType w:val="hybridMultilevel"/>
    <w:tmpl w:val="EC1EE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347C2"/>
    <w:multiLevelType w:val="multilevel"/>
    <w:tmpl w:val="59C0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B4"/>
    <w:rsid w:val="00061C65"/>
    <w:rsid w:val="0006336F"/>
    <w:rsid w:val="000A3C8B"/>
    <w:rsid w:val="000A3D5C"/>
    <w:rsid w:val="000A5389"/>
    <w:rsid w:val="00196025"/>
    <w:rsid w:val="001D3B91"/>
    <w:rsid w:val="001E1372"/>
    <w:rsid w:val="001F311C"/>
    <w:rsid w:val="00257CA4"/>
    <w:rsid w:val="002A336C"/>
    <w:rsid w:val="002A7513"/>
    <w:rsid w:val="002D25A6"/>
    <w:rsid w:val="003030DF"/>
    <w:rsid w:val="00340844"/>
    <w:rsid w:val="00362FE5"/>
    <w:rsid w:val="003953C4"/>
    <w:rsid w:val="003A6506"/>
    <w:rsid w:val="003C6438"/>
    <w:rsid w:val="00407353"/>
    <w:rsid w:val="00436F1A"/>
    <w:rsid w:val="00441853"/>
    <w:rsid w:val="00441AA0"/>
    <w:rsid w:val="004B1630"/>
    <w:rsid w:val="004B4B65"/>
    <w:rsid w:val="005473F3"/>
    <w:rsid w:val="00577006"/>
    <w:rsid w:val="005D3B05"/>
    <w:rsid w:val="00600875"/>
    <w:rsid w:val="00616368"/>
    <w:rsid w:val="00640A14"/>
    <w:rsid w:val="00645D13"/>
    <w:rsid w:val="00646967"/>
    <w:rsid w:val="0064794E"/>
    <w:rsid w:val="006B307E"/>
    <w:rsid w:val="006C2F6D"/>
    <w:rsid w:val="006F70C5"/>
    <w:rsid w:val="00704D87"/>
    <w:rsid w:val="0070772B"/>
    <w:rsid w:val="007774C0"/>
    <w:rsid w:val="00780DC1"/>
    <w:rsid w:val="00852052"/>
    <w:rsid w:val="0086004D"/>
    <w:rsid w:val="008A55E4"/>
    <w:rsid w:val="008D708B"/>
    <w:rsid w:val="00917F31"/>
    <w:rsid w:val="00945D26"/>
    <w:rsid w:val="009A7DED"/>
    <w:rsid w:val="009C5501"/>
    <w:rsid w:val="009E05B4"/>
    <w:rsid w:val="00A25C9A"/>
    <w:rsid w:val="00A35E86"/>
    <w:rsid w:val="00A413B5"/>
    <w:rsid w:val="00A63F26"/>
    <w:rsid w:val="00A86E00"/>
    <w:rsid w:val="00AA5F25"/>
    <w:rsid w:val="00AB1906"/>
    <w:rsid w:val="00B9463C"/>
    <w:rsid w:val="00BC63A4"/>
    <w:rsid w:val="00BD5D02"/>
    <w:rsid w:val="00BE23D6"/>
    <w:rsid w:val="00C17FB8"/>
    <w:rsid w:val="00C66771"/>
    <w:rsid w:val="00CA1D71"/>
    <w:rsid w:val="00CA40E9"/>
    <w:rsid w:val="00CD2305"/>
    <w:rsid w:val="00CD6BD1"/>
    <w:rsid w:val="00D71EB2"/>
    <w:rsid w:val="00DE2E83"/>
    <w:rsid w:val="00E0276B"/>
    <w:rsid w:val="00E66DB6"/>
    <w:rsid w:val="00E7614D"/>
    <w:rsid w:val="00E856A9"/>
    <w:rsid w:val="00ED0B84"/>
    <w:rsid w:val="00EE2E42"/>
    <w:rsid w:val="00EF416C"/>
    <w:rsid w:val="00F15BF5"/>
    <w:rsid w:val="00F179FD"/>
    <w:rsid w:val="00F51B89"/>
    <w:rsid w:val="00F9313E"/>
    <w:rsid w:val="00FB5E56"/>
    <w:rsid w:val="00FC1455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F940"/>
  <w15:chartTrackingRefBased/>
  <w15:docId w15:val="{98F3D2CF-7BC0-474E-9022-6B3BDECB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33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36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63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36F"/>
    <w:rPr>
      <w:color w:val="605E5C"/>
      <w:shd w:val="clear" w:color="auto" w:fill="E1DFDD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13B5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13B5"/>
    <w:rPr>
      <w:rFonts w:eastAsiaTheme="minorEastAsia"/>
    </w:rPr>
  </w:style>
  <w:style w:type="table" w:styleId="TableGrid">
    <w:name w:val="Table Grid"/>
    <w:basedOn w:val="TableNormal"/>
    <w:uiPriority w:val="39"/>
    <w:rsid w:val="0034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Ben@HealthcareAttorney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Assad Mirza</dc:creator>
  <cp:keywords/>
  <dc:description/>
  <cp:lastModifiedBy>Ben Assad Mirza</cp:lastModifiedBy>
  <cp:revision>4</cp:revision>
  <dcterms:created xsi:type="dcterms:W3CDTF">2020-05-13T11:08:00Z</dcterms:created>
  <dcterms:modified xsi:type="dcterms:W3CDTF">2020-05-13T11:12:00Z</dcterms:modified>
</cp:coreProperties>
</file>